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52A508" w14:textId="77777777" w:rsidR="005C74AB" w:rsidRPr="005C74AB" w:rsidRDefault="005C74AB" w:rsidP="005C74AB">
      <w:pPr>
        <w:jc w:val="both"/>
        <w:rPr>
          <w:b/>
          <w:i/>
          <w:iCs/>
          <w:u w:val="single"/>
        </w:rPr>
      </w:pPr>
      <w:r w:rsidRPr="005C74AB">
        <w:rPr>
          <w:b/>
          <w:i/>
          <w:iCs/>
          <w:u w:val="single"/>
        </w:rPr>
        <w:t>Expediente C02/011/2021</w:t>
      </w:r>
    </w:p>
    <w:p w14:paraId="22CB6F04" w14:textId="77777777" w:rsidR="005C74AB" w:rsidRPr="005C74AB" w:rsidRDefault="005C74AB" w:rsidP="00BC332B">
      <w:pPr>
        <w:jc w:val="both"/>
        <w:rPr>
          <w:b/>
        </w:rPr>
      </w:pPr>
    </w:p>
    <w:p w14:paraId="1A4D2850" w14:textId="3A532551" w:rsidR="00BC332B" w:rsidRPr="005C74AB" w:rsidRDefault="00352C71" w:rsidP="00BC332B">
      <w:pPr>
        <w:jc w:val="both"/>
        <w:rPr>
          <w:b/>
        </w:rPr>
      </w:pPr>
      <w:r w:rsidRPr="005C74AB">
        <w:rPr>
          <w:b/>
        </w:rPr>
        <w:t>4</w:t>
      </w:r>
      <w:r w:rsidR="00BC332B" w:rsidRPr="005C74AB">
        <w:rPr>
          <w:b/>
        </w:rPr>
        <w:t>. Qué ocurre si me presento a los 3 concursos y soy adjudicatario de lotes en los tres concursos y la suma de los lotes adjudicados, excede nuestra capacidad productiva. ¿Cómo se realizaría el reparto de lotes hasta copar nuestra capacidad productiva? ¿por tamaño, distancia a cocina central…?</w:t>
      </w:r>
    </w:p>
    <w:p w14:paraId="1D105324" w14:textId="77777777" w:rsidR="00BE6ADD" w:rsidRPr="005C74AB" w:rsidRDefault="00BE6ADD" w:rsidP="00BE6ADD">
      <w:pPr>
        <w:jc w:val="both"/>
        <w:rPr>
          <w:color w:val="FF0000"/>
        </w:rPr>
      </w:pPr>
      <w:r w:rsidRPr="005C74AB">
        <w:rPr>
          <w:color w:val="FF0000"/>
        </w:rPr>
        <w:t xml:space="preserve">En cuanto a los lotes que pueden adjudicarse a una empresa licitadora, el apartado 20.4 de las cláusulas específicas del contrato del PCAP determina lo siguiente:  </w:t>
      </w:r>
    </w:p>
    <w:p w14:paraId="165249E6" w14:textId="77777777" w:rsidR="00BE6ADD" w:rsidRPr="005C74AB" w:rsidRDefault="00BE6ADD" w:rsidP="00BE6ADD">
      <w:pPr>
        <w:tabs>
          <w:tab w:val="left" w:pos="900"/>
        </w:tabs>
        <w:spacing w:before="120" w:after="120"/>
        <w:ind w:left="703" w:hanging="603"/>
        <w:jc w:val="both"/>
        <w:rPr>
          <w:rFonts w:cstheme="minorHAnsi"/>
          <w:i/>
          <w:color w:val="FF0000"/>
        </w:rPr>
      </w:pPr>
      <w:r w:rsidRPr="005C74AB">
        <w:rPr>
          <w:rFonts w:cstheme="minorHAnsi"/>
          <w:b/>
          <w:i/>
          <w:color w:val="FF0000"/>
        </w:rPr>
        <w:t>20.4.-</w:t>
      </w:r>
      <w:r w:rsidRPr="005C74AB">
        <w:rPr>
          <w:rFonts w:cstheme="minorHAnsi"/>
          <w:b/>
          <w:i/>
          <w:color w:val="FF0000"/>
        </w:rPr>
        <w:tab/>
        <w:t xml:space="preserve">Información sobre la división en lotes: </w:t>
      </w:r>
      <w:r w:rsidRPr="005C74AB">
        <w:rPr>
          <w:rFonts w:cstheme="minorHAnsi"/>
          <w:i/>
          <w:color w:val="FF0000"/>
        </w:rPr>
        <w:t>se debe tener en cuenta lo siguiente:</w:t>
      </w:r>
    </w:p>
    <w:p w14:paraId="6DE9AA69" w14:textId="77777777" w:rsidR="00BE6ADD" w:rsidRPr="005C74AB" w:rsidRDefault="00BE6ADD" w:rsidP="00BE6ADD">
      <w:pPr>
        <w:numPr>
          <w:ilvl w:val="1"/>
          <w:numId w:val="5"/>
        </w:numPr>
        <w:tabs>
          <w:tab w:val="clear" w:pos="1580"/>
          <w:tab w:val="num" w:pos="6172"/>
        </w:tabs>
        <w:spacing w:before="120" w:after="120" w:line="240" w:lineRule="auto"/>
        <w:ind w:left="870"/>
        <w:jc w:val="both"/>
        <w:rPr>
          <w:rFonts w:cstheme="minorHAnsi"/>
          <w:i/>
          <w:color w:val="FF0000"/>
        </w:rPr>
      </w:pPr>
      <w:r w:rsidRPr="005C74AB">
        <w:rPr>
          <w:rFonts w:cstheme="minorHAnsi"/>
          <w:i/>
          <w:color w:val="FF0000"/>
        </w:rPr>
        <w:t>Existen limitaciones en cuanto a:</w:t>
      </w:r>
    </w:p>
    <w:p w14:paraId="383B5E47" w14:textId="77777777" w:rsidR="00BE6ADD" w:rsidRPr="005C74AB" w:rsidRDefault="00BE6ADD" w:rsidP="00BE6ADD">
      <w:pPr>
        <w:tabs>
          <w:tab w:val="right" w:leader="dot" w:pos="10348"/>
        </w:tabs>
        <w:spacing w:before="120" w:after="120"/>
        <w:ind w:left="1200" w:hanging="380"/>
        <w:jc w:val="both"/>
        <w:rPr>
          <w:rFonts w:cstheme="minorHAnsi"/>
          <w:i/>
          <w:color w:val="FF0000"/>
        </w:rPr>
      </w:pPr>
      <w:r w:rsidRPr="005C74AB">
        <w:rPr>
          <w:rFonts w:cstheme="minorHAnsi"/>
          <w:i/>
          <w:color w:val="FF0000"/>
        </w:rPr>
        <w:fldChar w:fldCharType="begin">
          <w:ffData>
            <w:name w:val=""/>
            <w:enabled/>
            <w:calcOnExit w:val="0"/>
            <w:checkBox>
              <w:size w:val="24"/>
              <w:default w:val="1"/>
            </w:checkBox>
          </w:ffData>
        </w:fldChar>
      </w:r>
      <w:r w:rsidRPr="005C74AB">
        <w:rPr>
          <w:rFonts w:cstheme="minorHAnsi"/>
          <w:i/>
          <w:color w:val="FF0000"/>
        </w:rPr>
        <w:instrText xml:space="preserve"> FORMCHECKBOX </w:instrText>
      </w:r>
      <w:r w:rsidR="005C74AB" w:rsidRPr="005C74AB">
        <w:rPr>
          <w:rFonts w:cstheme="minorHAnsi"/>
          <w:i/>
          <w:color w:val="FF0000"/>
        </w:rPr>
      </w:r>
      <w:r w:rsidR="005C74AB" w:rsidRPr="005C74AB">
        <w:rPr>
          <w:rFonts w:cstheme="minorHAnsi"/>
          <w:i/>
          <w:color w:val="FF0000"/>
        </w:rPr>
        <w:fldChar w:fldCharType="separate"/>
      </w:r>
      <w:r w:rsidRPr="005C74AB">
        <w:rPr>
          <w:rFonts w:cstheme="minorHAnsi"/>
          <w:i/>
          <w:color w:val="FF0000"/>
        </w:rPr>
        <w:fldChar w:fldCharType="end"/>
      </w:r>
      <w:r w:rsidRPr="005C74AB">
        <w:rPr>
          <w:rFonts w:cstheme="minorHAnsi"/>
          <w:i/>
          <w:color w:val="FF0000"/>
        </w:rPr>
        <w:t xml:space="preserve"> Lotes a los que un mismo operador económico puede presentar oferta. </w:t>
      </w:r>
    </w:p>
    <w:p w14:paraId="589CA56E" w14:textId="77777777" w:rsidR="00BE6ADD" w:rsidRPr="005C74AB" w:rsidRDefault="00BE6ADD" w:rsidP="00BE6ADD">
      <w:pPr>
        <w:tabs>
          <w:tab w:val="right" w:leader="dot" w:pos="10348"/>
        </w:tabs>
        <w:spacing w:before="120" w:after="120"/>
        <w:ind w:left="1200" w:hanging="380"/>
        <w:jc w:val="both"/>
        <w:rPr>
          <w:rFonts w:cstheme="minorHAnsi"/>
          <w:i/>
          <w:color w:val="FF0000"/>
        </w:rPr>
      </w:pPr>
      <w:r w:rsidRPr="005C74AB">
        <w:rPr>
          <w:rFonts w:cstheme="minorHAnsi"/>
          <w:i/>
          <w:color w:val="FF0000"/>
        </w:rPr>
        <w:tab/>
        <w:t>Los límites son los siguientes: El establecido en la solvencia financiera cláusula 21.2</w:t>
      </w:r>
    </w:p>
    <w:p w14:paraId="0C834C6C" w14:textId="77777777" w:rsidR="00BE6ADD" w:rsidRPr="005C74AB" w:rsidRDefault="00BE6ADD" w:rsidP="00BE6ADD">
      <w:pPr>
        <w:tabs>
          <w:tab w:val="right" w:leader="dot" w:pos="10348"/>
        </w:tabs>
        <w:spacing w:before="120" w:after="120"/>
        <w:ind w:left="1100" w:hanging="280"/>
        <w:jc w:val="both"/>
        <w:rPr>
          <w:rFonts w:cstheme="minorHAnsi"/>
          <w:i/>
          <w:color w:val="FF0000"/>
        </w:rPr>
      </w:pPr>
      <w:r w:rsidRPr="005C74AB">
        <w:rPr>
          <w:rFonts w:cstheme="minorHAnsi"/>
          <w:i/>
          <w:color w:val="FF0000"/>
        </w:rPr>
        <w:fldChar w:fldCharType="begin">
          <w:ffData>
            <w:name w:val=""/>
            <w:enabled/>
            <w:calcOnExit w:val="0"/>
            <w:checkBox>
              <w:size w:val="24"/>
              <w:default w:val="1"/>
            </w:checkBox>
          </w:ffData>
        </w:fldChar>
      </w:r>
      <w:r w:rsidRPr="005C74AB">
        <w:rPr>
          <w:rFonts w:cstheme="minorHAnsi"/>
          <w:i/>
          <w:color w:val="FF0000"/>
        </w:rPr>
        <w:instrText xml:space="preserve"> FORMCHECKBOX </w:instrText>
      </w:r>
      <w:r w:rsidR="005C74AB" w:rsidRPr="005C74AB">
        <w:rPr>
          <w:rFonts w:cstheme="minorHAnsi"/>
          <w:i/>
          <w:color w:val="FF0000"/>
        </w:rPr>
      </w:r>
      <w:r w:rsidR="005C74AB" w:rsidRPr="005C74AB">
        <w:rPr>
          <w:rFonts w:cstheme="minorHAnsi"/>
          <w:i/>
          <w:color w:val="FF0000"/>
        </w:rPr>
        <w:fldChar w:fldCharType="separate"/>
      </w:r>
      <w:r w:rsidRPr="005C74AB">
        <w:rPr>
          <w:rFonts w:cstheme="minorHAnsi"/>
          <w:i/>
          <w:color w:val="FF0000"/>
        </w:rPr>
        <w:fldChar w:fldCharType="end"/>
      </w:r>
      <w:r w:rsidRPr="005C74AB">
        <w:rPr>
          <w:rFonts w:cstheme="minorHAnsi"/>
          <w:i/>
          <w:color w:val="FF0000"/>
        </w:rPr>
        <w:t xml:space="preserve">Lotes que pueden adjudicarse a una licitadora de conformidad con los siguientes criterios o normas: </w:t>
      </w:r>
    </w:p>
    <w:p w14:paraId="24178E72" w14:textId="77777777" w:rsidR="00BE6ADD" w:rsidRPr="005C74AB" w:rsidRDefault="00BE6ADD" w:rsidP="00BE6ADD">
      <w:pPr>
        <w:tabs>
          <w:tab w:val="right" w:leader="dot" w:pos="10348"/>
        </w:tabs>
        <w:spacing w:before="120" w:after="120"/>
        <w:ind w:left="1100" w:hanging="280"/>
        <w:jc w:val="both"/>
        <w:rPr>
          <w:rFonts w:cstheme="minorHAnsi"/>
          <w:i/>
          <w:color w:val="FF0000"/>
        </w:rPr>
      </w:pPr>
      <w:r w:rsidRPr="005C74AB">
        <w:rPr>
          <w:rFonts w:cstheme="minorHAnsi"/>
          <w:i/>
          <w:color w:val="FF0000"/>
        </w:rPr>
        <w:tab/>
        <w:t>A los efectos de lo establecido en el artículo 99, punto 4, letra b) de la ley 9/2017, del 8 de noviembre, de la Ley de Contratos del Sector Público, cada empresa licitadora podrá ser propuesta como adjudicataria de un máximo de cuatro lotes. La empresa propuesta como adjudicataria de un máximo de cuatro lotes no podrá ser propuesta como adjudicataria de ningún otro lote, ni a título individual ni como parte de una Unión Temporal de Empresas (con independencia de la distribución porcentual que ostente en la misma).</w:t>
      </w:r>
    </w:p>
    <w:p w14:paraId="36C082A2" w14:textId="77777777" w:rsidR="00BE6ADD" w:rsidRPr="005C74AB" w:rsidRDefault="00BE6ADD" w:rsidP="00BE6ADD">
      <w:pPr>
        <w:tabs>
          <w:tab w:val="right" w:leader="dot" w:pos="10348"/>
        </w:tabs>
        <w:spacing w:before="120" w:after="120"/>
        <w:ind w:left="1100" w:hanging="280"/>
        <w:jc w:val="both"/>
        <w:rPr>
          <w:rFonts w:cstheme="minorHAnsi"/>
          <w:i/>
          <w:color w:val="FF0000"/>
        </w:rPr>
      </w:pPr>
      <w:r w:rsidRPr="005C74AB">
        <w:rPr>
          <w:rFonts w:cstheme="minorHAnsi"/>
          <w:i/>
          <w:color w:val="FF0000"/>
        </w:rPr>
        <w:tab/>
        <w:t>En el caso de resultar sus proposiciones las mejor valoradas en más de cuatro lotes, solamente se propondrá la adjudicación, de entre dichos lotes, de los cuatro con mayor presupuesto base de licitación. En ningún caso el número total de lotes adjudicados a cada licitadora podrá superar su capacidad productiva ni su solvencia financiera, definidas en el apartado 21.2.</w:t>
      </w:r>
    </w:p>
    <w:p w14:paraId="126044D1" w14:textId="77777777" w:rsidR="00BE6ADD" w:rsidRPr="005C74AB" w:rsidRDefault="00BE6ADD" w:rsidP="00BE6ADD">
      <w:pPr>
        <w:tabs>
          <w:tab w:val="right" w:leader="dot" w:pos="10348"/>
        </w:tabs>
        <w:spacing w:before="120" w:after="120"/>
        <w:ind w:left="1100" w:hanging="280"/>
        <w:jc w:val="both"/>
        <w:rPr>
          <w:rFonts w:cstheme="minorHAnsi"/>
          <w:i/>
          <w:color w:val="FF0000"/>
        </w:rPr>
      </w:pPr>
      <w:r w:rsidRPr="005C74AB">
        <w:rPr>
          <w:rFonts w:cstheme="minorHAnsi"/>
          <w:i/>
          <w:color w:val="FF0000"/>
        </w:rPr>
        <w:tab/>
        <w:t>No obstante, para evitar que pudieran quedar lotes desiertos, podrá también resultar adjudicataria de aquéllos otros lotes a los que hubiera presentado oferta y que no pudieran adjudicarse a ningún potro licitador, siempre que la empresa acredite la solvencia y capacidad productiva suficiente.</w:t>
      </w:r>
    </w:p>
    <w:p w14:paraId="123CAFBD" w14:textId="77777777" w:rsidR="00BE6ADD" w:rsidRPr="005C74AB" w:rsidRDefault="00BE6ADD" w:rsidP="00BE6ADD">
      <w:pPr>
        <w:tabs>
          <w:tab w:val="right" w:leader="dot" w:pos="10348"/>
        </w:tabs>
        <w:spacing w:before="120" w:after="120"/>
        <w:ind w:left="1100" w:hanging="280"/>
        <w:jc w:val="both"/>
        <w:rPr>
          <w:rFonts w:cstheme="minorHAnsi"/>
          <w:i/>
          <w:color w:val="FF0000"/>
        </w:rPr>
      </w:pPr>
      <w:r w:rsidRPr="005C74AB">
        <w:rPr>
          <w:rFonts w:cstheme="minorHAnsi"/>
          <w:i/>
          <w:color w:val="FF0000"/>
        </w:rPr>
        <w:tab/>
        <w:t>Las empresas vinculadas pertenecientes a un mismo grupo se considerarán entidades distintas a los efectos del límite señalado.</w:t>
      </w:r>
    </w:p>
    <w:p w14:paraId="3D2EA6C6" w14:textId="77777777" w:rsidR="00BE6ADD" w:rsidRPr="005C74AB" w:rsidRDefault="00BE6ADD" w:rsidP="00BE6ADD">
      <w:pPr>
        <w:tabs>
          <w:tab w:val="right" w:leader="dot" w:pos="10348"/>
        </w:tabs>
        <w:spacing w:before="120" w:after="120"/>
        <w:ind w:left="1100" w:hanging="280"/>
        <w:jc w:val="both"/>
        <w:rPr>
          <w:rFonts w:cstheme="minorHAnsi"/>
          <w:i/>
          <w:color w:val="FF0000"/>
        </w:rPr>
      </w:pPr>
      <w:r w:rsidRPr="005C74AB">
        <w:rPr>
          <w:rFonts w:cstheme="minorHAnsi"/>
          <w:i/>
          <w:color w:val="FF0000"/>
        </w:rPr>
        <w:tab/>
        <w:t>Para evitar que un licitador pueda decidir qué lotes de entre aquellos para los que se presentó mejor oferta le serán adjudicados, en el caso de que el número fuera superior a cuatro, si el licitador que hubiera resultado propuesto adjudicatario de cuatro lotes, retira su oferta por alguno de ellos o deja de presentar la documentación prevista en el artículo 150.2 de la LCSP, no podrá ser propuesto para la adjudicación de otro lote diferente de esos cuatro, con la excepción de aquellos para los que hubieran presentado oferta y no pudieran adjudicarse a ningún otro licitador, por razón de interés público del servicio tutelado por el órgano de contratación para evitar que pudieran quedar lotes desiertos.</w:t>
      </w:r>
    </w:p>
    <w:p w14:paraId="41C0CDD9" w14:textId="77777777" w:rsidR="00BE6ADD" w:rsidRPr="005C74AB" w:rsidRDefault="00BE6ADD" w:rsidP="00BE6ADD">
      <w:pPr>
        <w:tabs>
          <w:tab w:val="right" w:leader="dot" w:pos="10348"/>
        </w:tabs>
        <w:spacing w:before="120" w:after="120"/>
        <w:ind w:left="1100" w:hanging="280"/>
        <w:jc w:val="both"/>
        <w:rPr>
          <w:rFonts w:cstheme="minorHAnsi"/>
          <w:b/>
          <w:i/>
          <w:color w:val="FF0000"/>
        </w:rPr>
      </w:pPr>
      <w:r w:rsidRPr="005C74AB">
        <w:rPr>
          <w:rFonts w:cstheme="minorHAnsi"/>
          <w:b/>
          <w:i/>
          <w:color w:val="FF0000"/>
        </w:rPr>
        <w:t xml:space="preserve">REGLAS DE ORDENACIÓN: </w:t>
      </w:r>
    </w:p>
    <w:p w14:paraId="1CA5E875" w14:textId="77777777" w:rsidR="00BE6ADD" w:rsidRPr="005C74AB" w:rsidRDefault="00BE6ADD" w:rsidP="00BE6ADD">
      <w:pPr>
        <w:tabs>
          <w:tab w:val="right" w:leader="dot" w:pos="10348"/>
        </w:tabs>
        <w:spacing w:before="120" w:after="120"/>
        <w:ind w:left="1100" w:hanging="280"/>
        <w:jc w:val="both"/>
        <w:rPr>
          <w:rFonts w:cstheme="minorHAnsi"/>
          <w:i/>
          <w:color w:val="FF0000"/>
        </w:rPr>
      </w:pPr>
      <w:r w:rsidRPr="005C74AB">
        <w:rPr>
          <w:rFonts w:cstheme="minorHAnsi"/>
          <w:i/>
          <w:color w:val="FF0000"/>
        </w:rPr>
        <w:t xml:space="preserve">Se adjudicarán los lotes en función de los siguientes criterios de ordenación: </w:t>
      </w:r>
    </w:p>
    <w:p w14:paraId="23D39630" w14:textId="77777777" w:rsidR="00BE6ADD" w:rsidRPr="005C74AB" w:rsidRDefault="00BE6ADD" w:rsidP="00BE6ADD">
      <w:pPr>
        <w:tabs>
          <w:tab w:val="right" w:leader="dot" w:pos="10348"/>
        </w:tabs>
        <w:spacing w:before="120" w:after="120"/>
        <w:ind w:left="1100" w:hanging="280"/>
        <w:jc w:val="both"/>
        <w:rPr>
          <w:rFonts w:cstheme="minorHAnsi"/>
          <w:i/>
          <w:color w:val="FF0000"/>
        </w:rPr>
      </w:pPr>
      <w:r w:rsidRPr="005C74AB">
        <w:rPr>
          <w:rFonts w:cstheme="minorHAnsi"/>
          <w:i/>
          <w:color w:val="FF0000"/>
        </w:rPr>
        <w:lastRenderedPageBreak/>
        <w:t xml:space="preserve">1.- En primer lugar, los lotes en orden decreciente en cuanto a su presupuesto base de licitación. </w:t>
      </w:r>
    </w:p>
    <w:p w14:paraId="0735866F" w14:textId="77777777" w:rsidR="00BE6ADD" w:rsidRPr="005C74AB" w:rsidRDefault="00BE6ADD" w:rsidP="00BE6ADD">
      <w:pPr>
        <w:tabs>
          <w:tab w:val="right" w:leader="dot" w:pos="10348"/>
        </w:tabs>
        <w:spacing w:before="120" w:after="120"/>
        <w:ind w:left="1100" w:hanging="280"/>
        <w:jc w:val="both"/>
        <w:rPr>
          <w:rFonts w:cstheme="minorHAnsi"/>
          <w:i/>
          <w:color w:val="FF0000"/>
        </w:rPr>
      </w:pPr>
      <w:r w:rsidRPr="005C74AB">
        <w:rPr>
          <w:rFonts w:cstheme="minorHAnsi"/>
          <w:i/>
          <w:color w:val="FF0000"/>
        </w:rPr>
        <w:tab/>
        <w:t>Una vez asignado al licitador que haya obtenido la mejor puntuación en cada lote el número máximo de lotes de los que puede ser adjudicatario, el resto de lotes serán adjudicados al segundo licitador con mejor puntuación con las mismas reglas de asunción máxima de lotes expresadas, y así sucesivamente hasta completar todos los lotes.</w:t>
      </w:r>
    </w:p>
    <w:p w14:paraId="2B72FF61" w14:textId="77777777" w:rsidR="00BE6ADD" w:rsidRPr="005C74AB" w:rsidRDefault="00BE6ADD" w:rsidP="00BE6ADD">
      <w:pPr>
        <w:tabs>
          <w:tab w:val="right" w:leader="dot" w:pos="10348"/>
        </w:tabs>
        <w:spacing w:before="120" w:after="120"/>
        <w:ind w:left="1100" w:hanging="280"/>
        <w:jc w:val="both"/>
        <w:rPr>
          <w:rFonts w:cstheme="minorHAnsi"/>
          <w:i/>
          <w:color w:val="FF0000"/>
        </w:rPr>
      </w:pPr>
      <w:r w:rsidRPr="005C74AB">
        <w:rPr>
          <w:rFonts w:cstheme="minorHAnsi"/>
          <w:i/>
          <w:color w:val="FF0000"/>
        </w:rPr>
        <w:t>2.- Una vez aplicada la regla anterior, aquellos lotes pendientes de adjudicar serán asignados por orden decreciente en cuanto a su presupuesto base de licitación a los licitadores que hayan presentado la mejor oferta en cada lote, con el límite establecido por la solvencia técnica.</w:t>
      </w:r>
    </w:p>
    <w:p w14:paraId="75BC08C6" w14:textId="77777777" w:rsidR="00352C71" w:rsidRPr="005C74AB" w:rsidRDefault="00BE6ADD" w:rsidP="00BE6ADD">
      <w:pPr>
        <w:spacing w:after="240"/>
        <w:jc w:val="both"/>
        <w:rPr>
          <w:color w:val="FF0000"/>
        </w:rPr>
      </w:pPr>
      <w:r w:rsidRPr="005C74AB">
        <w:rPr>
          <w:color w:val="FF0000"/>
        </w:rPr>
        <w:t xml:space="preserve">Además, las empresas licitadoras tendrán que cumplir con los requisitos de la solvencia económica y financiera, así como de la solvencia técnica o profesional establecidas en el apartado 21.2 de las cláusulas específicas del contrato del PCAP. </w:t>
      </w:r>
    </w:p>
    <w:p w14:paraId="49A97A48" w14:textId="77777777" w:rsidR="00BC332B" w:rsidRPr="005C74AB" w:rsidRDefault="00352C71" w:rsidP="00BC332B">
      <w:pPr>
        <w:jc w:val="both"/>
        <w:rPr>
          <w:b/>
        </w:rPr>
      </w:pPr>
      <w:r w:rsidRPr="005C74AB">
        <w:rPr>
          <w:b/>
        </w:rPr>
        <w:t>5</w:t>
      </w:r>
      <w:r w:rsidR="00BC332B" w:rsidRPr="005C74AB">
        <w:rPr>
          <w:b/>
        </w:rPr>
        <w:t xml:space="preserve">. ¿Es posible presentar la oferta económica de los primeros platos, segundos o postres con precios anormalmente bajos? o por el contrario ¿la suma de los precios del primer plato, segundo y postre tiene que coincidir con el precio ofertado del menú completo? </w:t>
      </w:r>
    </w:p>
    <w:p w14:paraId="70D60107" w14:textId="0F9E2A61" w:rsidR="005C395E" w:rsidRPr="005C74AB" w:rsidRDefault="00324AC6" w:rsidP="005C395E">
      <w:pPr>
        <w:spacing w:after="120"/>
        <w:jc w:val="both"/>
        <w:rPr>
          <w:rFonts w:eastAsia="Times New Roman" w:cstheme="minorHAnsi"/>
          <w:color w:val="FF0000"/>
        </w:rPr>
      </w:pPr>
      <w:r w:rsidRPr="005C74AB">
        <w:rPr>
          <w:rFonts w:eastAsia="Times New Roman" w:cstheme="minorHAnsi"/>
          <w:color w:val="FF0000"/>
        </w:rPr>
        <w:t>L</w:t>
      </w:r>
      <w:r w:rsidR="005C395E" w:rsidRPr="005C74AB">
        <w:rPr>
          <w:color w:val="FF0000"/>
        </w:rPr>
        <w:t>a suma de los precios ofertados del primer plato, segundo y postre tienen que coincidir con el precio ofertado del menú completo.</w:t>
      </w:r>
      <w:r w:rsidR="005C395E" w:rsidRPr="005C74AB">
        <w:rPr>
          <w:rFonts w:eastAsia="Times New Roman" w:cstheme="minorHAnsi"/>
          <w:color w:val="FF0000"/>
        </w:rPr>
        <w:t xml:space="preserve"> </w:t>
      </w:r>
    </w:p>
    <w:p w14:paraId="09851242" w14:textId="77777777" w:rsidR="00324AC6" w:rsidRPr="005C74AB" w:rsidRDefault="00324AC6" w:rsidP="00F14F63">
      <w:pPr>
        <w:spacing w:after="120" w:line="252" w:lineRule="auto"/>
        <w:jc w:val="both"/>
        <w:rPr>
          <w:rFonts w:eastAsia="Times New Roman" w:cstheme="minorHAnsi"/>
          <w:b/>
        </w:rPr>
      </w:pPr>
    </w:p>
    <w:p w14:paraId="0DE5983D" w14:textId="00384393" w:rsidR="00A20ECE" w:rsidRPr="005C74AB" w:rsidRDefault="00A20ECE" w:rsidP="00F14F63">
      <w:pPr>
        <w:spacing w:after="120" w:line="252" w:lineRule="auto"/>
        <w:jc w:val="both"/>
        <w:rPr>
          <w:rFonts w:eastAsia="Times New Roman"/>
          <w:b/>
        </w:rPr>
      </w:pPr>
      <w:r w:rsidRPr="005C74AB">
        <w:rPr>
          <w:rFonts w:eastAsia="Times New Roman" w:cstheme="minorHAnsi"/>
          <w:b/>
        </w:rPr>
        <w:t xml:space="preserve">6. </w:t>
      </w:r>
      <w:r w:rsidRPr="005C74AB">
        <w:rPr>
          <w:rFonts w:eastAsia="Times New Roman"/>
          <w:b/>
        </w:rPr>
        <w:t>En la Circular de comedores 2021/2021 en el Anexo III aparece una tabla con la frecuencia de los consumos diferente a la tabla que aparece en el PPT. ¿Cuál es la correcta?</w:t>
      </w:r>
    </w:p>
    <w:p w14:paraId="3C0E1EC6" w14:textId="77777777" w:rsidR="00A20ECE" w:rsidRPr="005C74AB" w:rsidRDefault="00F14F63" w:rsidP="00CB23AB">
      <w:pPr>
        <w:spacing w:after="240" w:line="252" w:lineRule="auto"/>
        <w:jc w:val="both"/>
        <w:rPr>
          <w:rFonts w:eastAsia="Times New Roman"/>
          <w:color w:val="FF0000"/>
        </w:rPr>
      </w:pPr>
      <w:r w:rsidRPr="005C74AB">
        <w:rPr>
          <w:rFonts w:eastAsia="Times New Roman"/>
          <w:bCs/>
          <w:color w:val="FF0000"/>
        </w:rPr>
        <w:t xml:space="preserve">La frecuencia de consumo de los diferentes platos que conforma el menú escolar es la establecida en el apartado tercero del ANEXO II “Política Nutricional” del Pliego de Prescripciones Técnicas. </w:t>
      </w:r>
    </w:p>
    <w:p w14:paraId="04BF57C4" w14:textId="77777777" w:rsidR="00CB23AB" w:rsidRPr="005C74AB" w:rsidRDefault="00CB23AB" w:rsidP="00CB23AB">
      <w:pPr>
        <w:pStyle w:val="xxmsolistparagraph"/>
        <w:ind w:left="0"/>
        <w:jc w:val="both"/>
        <w:rPr>
          <w:rFonts w:asciiTheme="minorHAnsi" w:hAnsiTheme="minorHAnsi" w:cstheme="minorHAnsi"/>
          <w:b/>
          <w:sz w:val="22"/>
          <w:szCs w:val="22"/>
        </w:rPr>
      </w:pPr>
      <w:r w:rsidRPr="005C74AB">
        <w:rPr>
          <w:rFonts w:asciiTheme="minorHAnsi" w:hAnsiTheme="minorHAnsi" w:cstheme="minorHAnsi"/>
          <w:b/>
          <w:sz w:val="22"/>
          <w:szCs w:val="22"/>
        </w:rPr>
        <w:t>7. En el supuesto de que la empresa licitadora cumpla con la solvencia económica para todos los lotes y presente el compromiso de adscripción de los medios materiales necesarios de conformidad con la cláusula 21 del PCAP ¿podría dicha compañía licitar a todos los lotes?</w:t>
      </w:r>
    </w:p>
    <w:p w14:paraId="3B96B8C5" w14:textId="77777777" w:rsidR="00CB23AB" w:rsidRPr="005C74AB" w:rsidRDefault="00CB23AB" w:rsidP="00CB23AB">
      <w:pPr>
        <w:tabs>
          <w:tab w:val="left" w:pos="900"/>
        </w:tabs>
        <w:spacing w:before="120" w:after="240"/>
        <w:jc w:val="both"/>
        <w:rPr>
          <w:rFonts w:cstheme="minorHAnsi"/>
          <w:color w:val="FF0000"/>
        </w:rPr>
      </w:pPr>
      <w:r w:rsidRPr="005C74AB">
        <w:rPr>
          <w:rFonts w:cstheme="minorHAnsi"/>
          <w:color w:val="FF0000"/>
        </w:rPr>
        <w:t xml:space="preserve">De acuerdo con la cláusula específica 20.4 del PCAP, las limitaciones que existen en cuanto a los lotes a los que un mismo operador económico puede presentar oferta vienen establecidas en la solvencia financiera de la cláusula 21.2. Por lo tanto, la empresa deberá cumplir con lo establecido en dicho apartado. </w:t>
      </w:r>
    </w:p>
    <w:p w14:paraId="203B2ABF" w14:textId="77777777" w:rsidR="00CB23AB" w:rsidRPr="005C74AB" w:rsidRDefault="00CB23AB" w:rsidP="00CB23AB">
      <w:pPr>
        <w:pStyle w:val="xxmsolistparagraph"/>
        <w:ind w:left="0"/>
        <w:jc w:val="both"/>
        <w:rPr>
          <w:rFonts w:asciiTheme="minorHAnsi" w:hAnsiTheme="minorHAnsi" w:cstheme="minorHAnsi"/>
          <w:b/>
          <w:sz w:val="22"/>
          <w:szCs w:val="22"/>
        </w:rPr>
      </w:pPr>
      <w:r w:rsidRPr="005C74AB">
        <w:rPr>
          <w:rFonts w:asciiTheme="minorHAnsi" w:hAnsiTheme="minorHAnsi" w:cstheme="minorHAnsi"/>
          <w:b/>
          <w:bCs/>
          <w:sz w:val="22"/>
          <w:szCs w:val="22"/>
        </w:rPr>
        <w:t xml:space="preserve">8. </w:t>
      </w:r>
      <w:r w:rsidRPr="005C74AB">
        <w:rPr>
          <w:rFonts w:asciiTheme="minorHAnsi" w:hAnsiTheme="minorHAnsi" w:cstheme="minorHAnsi"/>
          <w:b/>
          <w:sz w:val="22"/>
          <w:szCs w:val="22"/>
        </w:rPr>
        <w:t xml:space="preserve">Presentado el compromiso de adscripción de medios detallados en la cláusula 21.2.b) del PCAP (marmitas, hornos, freidoras y cámaras de descongelación) cumplimentando el Anexo II.2, y para poder comprender la convivencia de la comprobación del material junto al principio de concurrencia consagrado por nuestra ley de contratos del sector público: </w:t>
      </w:r>
    </w:p>
    <w:p w14:paraId="18E39850" w14:textId="77777777" w:rsidR="00CB23AB" w:rsidRPr="005C74AB" w:rsidRDefault="00CB23AB" w:rsidP="00CB23AB">
      <w:pPr>
        <w:pStyle w:val="xxmsolistparagraph"/>
        <w:rPr>
          <w:rFonts w:asciiTheme="minorHAnsi" w:hAnsiTheme="minorHAnsi" w:cstheme="minorHAnsi"/>
          <w:b/>
          <w:sz w:val="22"/>
          <w:szCs w:val="22"/>
        </w:rPr>
      </w:pPr>
      <w:r w:rsidRPr="005C74AB">
        <w:rPr>
          <w:rFonts w:asciiTheme="minorHAnsi" w:hAnsiTheme="minorHAnsi" w:cstheme="minorHAnsi"/>
          <w:b/>
          <w:sz w:val="22"/>
          <w:szCs w:val="22"/>
        </w:rPr>
        <w:t> </w:t>
      </w:r>
    </w:p>
    <w:p w14:paraId="6E56EE01" w14:textId="77777777" w:rsidR="00E079BF" w:rsidRPr="005C74AB" w:rsidRDefault="00E079BF" w:rsidP="00E079BF">
      <w:pPr>
        <w:numPr>
          <w:ilvl w:val="1"/>
          <w:numId w:val="6"/>
        </w:numPr>
        <w:spacing w:after="0" w:line="240" w:lineRule="auto"/>
        <w:ind w:left="754" w:hanging="357"/>
        <w:jc w:val="both"/>
        <w:rPr>
          <w:rFonts w:eastAsia="Times New Roman" w:cstheme="minorHAnsi"/>
          <w:b/>
        </w:rPr>
      </w:pPr>
      <w:r w:rsidRPr="005C74AB">
        <w:rPr>
          <w:rFonts w:eastAsia="Times New Roman" w:cstheme="minorHAnsi"/>
          <w:b/>
        </w:rPr>
        <w:t>¿Podrían confirmarnos si la comprobación de la suficiencia del equipamiento de material se realizará solamente a la licitadora que haya presentado la mejor oferta como establecido en el último párrafo de la cláusula 21.</w:t>
      </w:r>
      <w:r w:rsidR="00CB23AB" w:rsidRPr="005C74AB">
        <w:rPr>
          <w:rFonts w:eastAsia="Times New Roman" w:cstheme="minorHAnsi"/>
          <w:b/>
        </w:rPr>
        <w:t>2 del PCAP?</w:t>
      </w:r>
    </w:p>
    <w:p w14:paraId="17F59E5E" w14:textId="77777777" w:rsidR="00CB23AB" w:rsidRPr="005C74AB" w:rsidRDefault="00CB23AB" w:rsidP="00CB23AB">
      <w:pPr>
        <w:numPr>
          <w:ilvl w:val="1"/>
          <w:numId w:val="6"/>
        </w:numPr>
        <w:spacing w:after="0" w:line="240" w:lineRule="auto"/>
        <w:ind w:left="754" w:hanging="357"/>
        <w:jc w:val="both"/>
        <w:rPr>
          <w:rFonts w:eastAsia="Times New Roman" w:cstheme="minorHAnsi"/>
          <w:b/>
        </w:rPr>
      </w:pPr>
      <w:r w:rsidRPr="005C74AB">
        <w:rPr>
          <w:rFonts w:eastAsia="Times New Roman" w:cstheme="minorHAnsi"/>
          <w:b/>
        </w:rPr>
        <w:t>O de lo contrario, confirmarnos si las licitadoras deberán disponer de todos los medios detallados en la cláusula 21.2.b) del PCAP (marmitas, hornos, freidoras y cámaras de descongelación) en la fase de presentación de ofertas.</w:t>
      </w:r>
    </w:p>
    <w:p w14:paraId="2224C24C" w14:textId="77777777" w:rsidR="00324AC6" w:rsidRPr="005C74AB" w:rsidRDefault="00324AC6" w:rsidP="005C395E">
      <w:pPr>
        <w:jc w:val="both"/>
        <w:rPr>
          <w:rFonts w:ascii="Calibri" w:eastAsia="Calibri" w:hAnsi="Calibri" w:cs="Times New Roman"/>
          <w:color w:val="FF0000"/>
        </w:rPr>
      </w:pPr>
    </w:p>
    <w:p w14:paraId="760F54F7" w14:textId="0D5D0695" w:rsidR="005C395E" w:rsidRPr="005C74AB" w:rsidRDefault="005C395E" w:rsidP="005C395E">
      <w:pPr>
        <w:jc w:val="both"/>
        <w:rPr>
          <w:rFonts w:ascii="Calibri" w:eastAsia="Calibri" w:hAnsi="Calibri" w:cs="Times New Roman"/>
          <w:color w:val="FF0000"/>
        </w:rPr>
      </w:pPr>
      <w:r w:rsidRPr="005C74AB">
        <w:rPr>
          <w:rFonts w:ascii="Calibri" w:eastAsia="Calibri" w:hAnsi="Calibri" w:cs="Times New Roman"/>
          <w:color w:val="FF0000"/>
        </w:rPr>
        <w:t xml:space="preserve">La disposición de los medios determinados en la cláusula 21.2.b) de las cláusulas específicas del PCAP constituye un requisito de solvencia técnica. Sin perjuicio de que ese requisito de solvencia técnica deba ser acreditado en principio solamente por la licitadora que haya presentado la mejor oferta, no debe olvidarse que </w:t>
      </w:r>
      <w:r w:rsidR="00324AC6" w:rsidRPr="005C74AB">
        <w:rPr>
          <w:rFonts w:ascii="Calibri" w:eastAsia="Calibri" w:hAnsi="Calibri" w:cs="Times New Roman"/>
          <w:color w:val="FF0000"/>
        </w:rPr>
        <w:t xml:space="preserve">en virtud de lo dispuesto por </w:t>
      </w:r>
      <w:r w:rsidRPr="005C74AB">
        <w:rPr>
          <w:rFonts w:ascii="Calibri" w:eastAsia="Calibri" w:hAnsi="Calibri" w:cs="Times New Roman"/>
          <w:color w:val="FF0000"/>
        </w:rPr>
        <w:t xml:space="preserve">el artículo 140.4 LCSP </w:t>
      </w:r>
      <w:r w:rsidR="00324AC6" w:rsidRPr="005C74AB">
        <w:rPr>
          <w:rFonts w:ascii="Calibri" w:eastAsia="Calibri" w:hAnsi="Calibri" w:cs="Times New Roman"/>
          <w:color w:val="FF0000"/>
        </w:rPr>
        <w:t xml:space="preserve">y por el párrafo segundo de la cláusula 11.4 de Condiciones Generales del PCAP </w:t>
      </w:r>
      <w:r w:rsidR="004A3F42" w:rsidRPr="005C74AB">
        <w:rPr>
          <w:rFonts w:ascii="Calibri" w:eastAsia="Calibri" w:hAnsi="Calibri" w:cs="Times New Roman"/>
          <w:color w:val="FF0000"/>
        </w:rPr>
        <w:t>l</w:t>
      </w:r>
      <w:r w:rsidRPr="005C74AB">
        <w:rPr>
          <w:rFonts w:ascii="Calibri" w:eastAsia="Calibri" w:hAnsi="Calibri" w:cs="Times New Roman"/>
          <w:color w:val="FF0000"/>
        </w:rPr>
        <w:t xml:space="preserve">as circunstancias relativas a la capacidad, solvencia y ausencia de prohibiciones de contratar deberán concurrir en la fecha final de presentación de ofertas y subsistir en el momento de perfección del contrato. </w:t>
      </w:r>
    </w:p>
    <w:p w14:paraId="453B8130" w14:textId="77777777" w:rsidR="00432AE8" w:rsidRPr="005C74AB" w:rsidRDefault="00432AE8" w:rsidP="00432AE8">
      <w:pPr>
        <w:rPr>
          <w:b/>
          <w:bCs/>
          <w:u w:val="single"/>
        </w:rPr>
      </w:pPr>
      <w:r w:rsidRPr="005C74AB">
        <w:rPr>
          <w:b/>
        </w:rPr>
        <w:t xml:space="preserve">9. </w:t>
      </w:r>
      <w:r w:rsidRPr="005C74AB">
        <w:rPr>
          <w:b/>
          <w:bCs/>
          <w:u w:val="single"/>
        </w:rPr>
        <w:t>Anexo I.2.</w:t>
      </w:r>
      <w:r w:rsidRPr="005C74AB">
        <w:rPr>
          <w:b/>
        </w:rPr>
        <w:t xml:space="preserve"> ¿Incluyen los costes de personal la subida del 0,9% desde enero de 2021?</w:t>
      </w:r>
    </w:p>
    <w:p w14:paraId="16D7F937" w14:textId="77777777" w:rsidR="00432AE8" w:rsidRPr="005C74AB" w:rsidRDefault="00432AE8" w:rsidP="00432AE8">
      <w:pPr>
        <w:tabs>
          <w:tab w:val="left" w:pos="425"/>
        </w:tabs>
        <w:spacing w:after="240" w:line="240" w:lineRule="auto"/>
        <w:ind w:right="-318"/>
        <w:jc w:val="both"/>
        <w:rPr>
          <w:rFonts w:cstheme="minorHAnsi"/>
          <w:color w:val="FF0000"/>
        </w:rPr>
      </w:pPr>
      <w:r w:rsidRPr="005C74AB">
        <w:rPr>
          <w:rFonts w:cstheme="minorHAnsi"/>
          <w:color w:val="FF0000"/>
        </w:rPr>
        <w:t xml:space="preserve">En el apartado del Anexo I.2 del PCAP se recuerda que las licitadoras deberán tener en cuenta la subida salarial del 0,9% efectiva desde enero de 2021 en el apartado SALARIO BRUTO ANUAL, es decir, dicha subida deberá ser adicionada a los importes del apartado SALARIO BRUTO ANUAL. </w:t>
      </w:r>
    </w:p>
    <w:p w14:paraId="7680603C" w14:textId="77777777" w:rsidR="00432AE8" w:rsidRPr="005C74AB" w:rsidRDefault="00432AE8" w:rsidP="00432AE8">
      <w:pPr>
        <w:spacing w:after="120"/>
        <w:jc w:val="both"/>
        <w:rPr>
          <w:b/>
        </w:rPr>
      </w:pPr>
      <w:r w:rsidRPr="005C74AB">
        <w:rPr>
          <w:b/>
          <w:bCs/>
        </w:rPr>
        <w:t xml:space="preserve">10. </w:t>
      </w:r>
      <w:r w:rsidRPr="005C74AB">
        <w:rPr>
          <w:b/>
          <w:bCs/>
          <w:u w:val="single"/>
        </w:rPr>
        <w:t>Anexo I.2.</w:t>
      </w:r>
      <w:r w:rsidRPr="005C74AB">
        <w:rPr>
          <w:b/>
        </w:rPr>
        <w:t xml:space="preserve"> En los centros en los que se incluye contrato 510 con la indicación de sustitución de excedencia ¿están también incluidos los datos de la persona en situación de excedencia?</w:t>
      </w:r>
    </w:p>
    <w:p w14:paraId="320DC0E6" w14:textId="0F78D393" w:rsidR="00D720D0" w:rsidRPr="005C74AB" w:rsidRDefault="004A3F42" w:rsidP="00432AE8">
      <w:pPr>
        <w:spacing w:after="120"/>
        <w:jc w:val="both"/>
        <w:rPr>
          <w:rFonts w:cstheme="minorHAnsi"/>
          <w:color w:val="FF0000"/>
        </w:rPr>
      </w:pPr>
      <w:r w:rsidRPr="005C74AB">
        <w:rPr>
          <w:rFonts w:cstheme="minorHAnsi"/>
          <w:color w:val="FF0000"/>
        </w:rPr>
        <w:t>Los datos sobre las condiciones de los contratos de trabajo incluidos en el Anexo I.2 del PCAP s</w:t>
      </w:r>
      <w:r w:rsidR="00D720D0" w:rsidRPr="005C74AB">
        <w:rPr>
          <w:rFonts w:cstheme="minorHAnsi"/>
          <w:color w:val="FF0000"/>
        </w:rPr>
        <w:t xml:space="preserve">e facilitan en cumplimiento de lo previsto en el artículo 130 LCSP. Se trata de datos suministrados por las </w:t>
      </w:r>
      <w:r w:rsidRPr="005C74AB">
        <w:rPr>
          <w:rFonts w:cstheme="minorHAnsi"/>
          <w:color w:val="FF0000"/>
        </w:rPr>
        <w:t xml:space="preserve">empresas que vienen efectuando la prestación objeto del contrato a adjudicar que son empleadoras de los trabajadores afectados y se refieren al personal objeto de subrogación conforme al convenio colectivo de aplicación. </w:t>
      </w:r>
    </w:p>
    <w:p w14:paraId="0C1F7FF7" w14:textId="77777777" w:rsidR="00C02040" w:rsidRPr="005C74AB" w:rsidRDefault="00C02040" w:rsidP="00432AE8">
      <w:pPr>
        <w:spacing w:after="120"/>
        <w:jc w:val="both"/>
        <w:rPr>
          <w:rFonts w:cstheme="minorHAnsi"/>
          <w:color w:val="FF0000"/>
        </w:rPr>
      </w:pPr>
    </w:p>
    <w:p w14:paraId="653064E3" w14:textId="4B084F22" w:rsidR="00C02040" w:rsidRPr="005C74AB" w:rsidRDefault="00C02040" w:rsidP="00C02040">
      <w:pPr>
        <w:spacing w:after="120"/>
        <w:jc w:val="both"/>
        <w:rPr>
          <w:rFonts w:cstheme="minorHAnsi"/>
          <w:color w:val="FF0000"/>
        </w:rPr>
      </w:pPr>
      <w:r w:rsidRPr="005C74AB">
        <w:rPr>
          <w:rFonts w:cstheme="minorHAnsi"/>
          <w:color w:val="FF0000"/>
        </w:rPr>
        <w:t>La obligación que el artículo 130 de la LCSP impone al órgano de contratación es una obligación de carácter puramente formal, pues únicamente le obliga a requerir al contratista anterior una información determinada, así como, una vez proporcionada tal información, a facilitarla a los licitadores, sin que el precepto imponga –ni del mismo se deduzca- ninguna obligación para el órgano de contratación de comprobar la veracidad material o intrínseca de aquella información.</w:t>
      </w:r>
    </w:p>
    <w:p w14:paraId="18D0AE56" w14:textId="25A6BF8F" w:rsidR="00C02040" w:rsidRPr="005C74AB" w:rsidRDefault="00C02040" w:rsidP="00C02040">
      <w:pPr>
        <w:spacing w:after="120"/>
        <w:jc w:val="both"/>
        <w:rPr>
          <w:rFonts w:cstheme="minorHAnsi"/>
          <w:color w:val="FF0000"/>
        </w:rPr>
      </w:pPr>
      <w:r w:rsidRPr="005C74AB">
        <w:rPr>
          <w:rFonts w:cstheme="minorHAnsi"/>
          <w:color w:val="FF0000"/>
        </w:rPr>
        <w:t xml:space="preserve">En la cláusula específica 10 del PCAP ya se indica que el Anexo I.2 no tiene carácter contractual. </w:t>
      </w:r>
    </w:p>
    <w:p w14:paraId="40235A4A" w14:textId="57C7E8D7" w:rsidR="00432AE8" w:rsidRPr="005C74AB" w:rsidRDefault="00432AE8" w:rsidP="00432AE8">
      <w:pPr>
        <w:spacing w:after="120"/>
        <w:jc w:val="both"/>
        <w:rPr>
          <w:b/>
        </w:rPr>
      </w:pPr>
      <w:r w:rsidRPr="005C74AB">
        <w:rPr>
          <w:b/>
          <w:bCs/>
        </w:rPr>
        <w:t xml:space="preserve">11. </w:t>
      </w:r>
      <w:r w:rsidRPr="005C74AB">
        <w:rPr>
          <w:b/>
          <w:bCs/>
          <w:u w:val="single"/>
        </w:rPr>
        <w:t>Anexo I.2.</w:t>
      </w:r>
      <w:r w:rsidRPr="005C74AB">
        <w:rPr>
          <w:b/>
        </w:rPr>
        <w:t xml:space="preserve"> Para poder calcular las horas reales trabajadas por cada persona necesitamos el dato de la fecha de inicio y fecha fin de la actividad en el curso 2020/2021.</w:t>
      </w:r>
    </w:p>
    <w:p w14:paraId="274BA439" w14:textId="77777777" w:rsidR="00432AE8" w:rsidRPr="005C74AB" w:rsidRDefault="00432AE8" w:rsidP="00432AE8">
      <w:pPr>
        <w:spacing w:after="240"/>
        <w:jc w:val="both"/>
        <w:rPr>
          <w:color w:val="FF0000"/>
        </w:rPr>
      </w:pPr>
      <w:r w:rsidRPr="005C74AB">
        <w:rPr>
          <w:color w:val="FF0000"/>
        </w:rPr>
        <w:t xml:space="preserve">La fecha de inicio del curso escolar 2020/2021 fue el 7 de septiembre de 2020 y la fecha de fin de curso el 18 de junio de 2021. </w:t>
      </w:r>
    </w:p>
    <w:p w14:paraId="1BE7E24B" w14:textId="77777777" w:rsidR="00432AE8" w:rsidRPr="005C74AB" w:rsidRDefault="00432AE8" w:rsidP="00432AE8">
      <w:pPr>
        <w:spacing w:after="120"/>
        <w:jc w:val="both"/>
        <w:rPr>
          <w:b/>
        </w:rPr>
      </w:pPr>
      <w:r w:rsidRPr="005C74AB">
        <w:rPr>
          <w:b/>
          <w:bCs/>
        </w:rPr>
        <w:t xml:space="preserve">12. </w:t>
      </w:r>
      <w:r w:rsidRPr="005C74AB">
        <w:rPr>
          <w:b/>
          <w:bCs/>
          <w:u w:val="single"/>
        </w:rPr>
        <w:t>Anexo I.2.</w:t>
      </w:r>
      <w:r w:rsidRPr="005C74AB">
        <w:rPr>
          <w:b/>
        </w:rPr>
        <w:t xml:space="preserve"> Con la información que se aporta y teniendo en cuenta la prestación efectiva en 180 días, calculando las horas que trabaja cada persona en el curso y multiplicado por el precio hora de cada una, no cuadra con el salario bruto informado, este último es bastante más elevado. ¿Es correcto? ¿Puede ser que no responda la cuantía al concepto de salario bruto sino a coste laboral total de cada persona?</w:t>
      </w:r>
    </w:p>
    <w:p w14:paraId="29E12AF1" w14:textId="77777777" w:rsidR="00432AE8" w:rsidRPr="005C74AB" w:rsidRDefault="00432AE8" w:rsidP="00432AE8">
      <w:pPr>
        <w:spacing w:after="120"/>
        <w:jc w:val="both"/>
        <w:rPr>
          <w:color w:val="FF0000"/>
        </w:rPr>
      </w:pPr>
      <w:r w:rsidRPr="005C74AB">
        <w:rPr>
          <w:color w:val="FF0000"/>
        </w:rPr>
        <w:t xml:space="preserve">En relación a los datos del Anexo I.2 del PCAP, los cuales han sido </w:t>
      </w:r>
      <w:r w:rsidRPr="005C74AB">
        <w:rPr>
          <w:rFonts w:cstheme="minorHAnsi"/>
          <w:color w:val="FF0000"/>
        </w:rPr>
        <w:t>aportados por las empresas que prestan en la actualidad el servicio en relación con el curso 2020/2021</w:t>
      </w:r>
      <w:r w:rsidRPr="005C74AB">
        <w:rPr>
          <w:color w:val="FF0000"/>
        </w:rPr>
        <w:t xml:space="preserve">, el artículo 130.1 de la LCSP en su párrafo 2 establece lo siguiente: </w:t>
      </w:r>
    </w:p>
    <w:p w14:paraId="3E393545" w14:textId="77777777" w:rsidR="00432AE8" w:rsidRPr="005C74AB" w:rsidRDefault="00432AE8" w:rsidP="00432AE8">
      <w:pPr>
        <w:spacing w:after="120"/>
        <w:jc w:val="both"/>
        <w:rPr>
          <w:i/>
          <w:color w:val="FF0000"/>
        </w:rPr>
      </w:pPr>
      <w:r w:rsidRPr="005C74AB">
        <w:rPr>
          <w:i/>
          <w:color w:val="FF0000"/>
        </w:rPr>
        <w:t xml:space="preserve">“A estos efectos, la empresa que viniese efectuando la prestación objeto del contrato a adjudicar y que tenga la condición de empleadora de los trabajadores afectados estará obligada a proporcionar la referida información al órgano de contratación, a requerimiento de este. Como parte de esta información en todo caso se deberán aportar los listados del personal objeto de subrogación, indicándose: el convenio colectivo de aplicación y los detalles de categoría, tipo de contrato, jornada, fecha de antigüedad, vencimiento del contrato, salario bruto anual de cada trabajador, así como todos los pactos en vigor aplicables a los trabajadores a los que afecte la subrogación. La Administración comunicará al nuevo empresario la información que le hubiere sido facilitada por el anterior contratista”. </w:t>
      </w:r>
    </w:p>
    <w:p w14:paraId="33BD6A1D" w14:textId="77777777" w:rsidR="00432AE8" w:rsidRPr="005C74AB" w:rsidRDefault="00432AE8" w:rsidP="00432AE8">
      <w:pPr>
        <w:spacing w:after="120"/>
        <w:jc w:val="both"/>
        <w:rPr>
          <w:color w:val="FF0000"/>
        </w:rPr>
      </w:pPr>
      <w:r w:rsidRPr="005C74AB">
        <w:rPr>
          <w:color w:val="FF0000"/>
        </w:rPr>
        <w:t>Además, el apartado 5 del art. 130 LCSP regula que “</w:t>
      </w:r>
      <w:r w:rsidRPr="005C74AB">
        <w:rPr>
          <w:i/>
          <w:color w:val="FF0000"/>
        </w:rPr>
        <w:t>En el caso de que una vez producida la subrogación los costes laborales fueran superiores a los que se desprendieran de la información facilitada por el antiguo contratista al órgano de contratación, el contratista tendrá acción directa contra el antiguo contratista</w:t>
      </w:r>
      <w:r w:rsidRPr="005C74AB">
        <w:rPr>
          <w:color w:val="FF0000"/>
        </w:rPr>
        <w:t xml:space="preserve">”. </w:t>
      </w:r>
    </w:p>
    <w:p w14:paraId="380F5F83" w14:textId="77777777" w:rsidR="0078400E" w:rsidRPr="005C74AB" w:rsidRDefault="00432AE8" w:rsidP="0078400E">
      <w:pPr>
        <w:spacing w:after="240"/>
        <w:jc w:val="both"/>
        <w:rPr>
          <w:color w:val="FF0000"/>
        </w:rPr>
      </w:pPr>
      <w:r w:rsidRPr="005C74AB">
        <w:rPr>
          <w:color w:val="FF0000"/>
        </w:rPr>
        <w:t xml:space="preserve">Por todo ello, esta Administración ha cumplido con las obligaciones legales establecidas en la LCSP, proporcionando los datos aportados por las actuales contratistas. </w:t>
      </w:r>
      <w:r w:rsidR="0078400E" w:rsidRPr="005C74AB">
        <w:rPr>
          <w:color w:val="FF0000"/>
        </w:rPr>
        <w:t>La obligación que el artículo 130 de la LCSP impone al órgano de contratación es una obligación de carácter puramente formal, pues únicamente le obliga a requerir al contratista anterior una información determinada, así como, una vez proporcionada tal información, a facilitarla a los licitadores, sin que el precepto imponga –ni del mismo se deduzca- ninguna obligación para el órgano de contratación de comprobar la veracidad material o intrínseca de aquella información.</w:t>
      </w:r>
    </w:p>
    <w:p w14:paraId="049CB068" w14:textId="77777777" w:rsidR="00432AE8" w:rsidRPr="005C74AB" w:rsidRDefault="00432AE8" w:rsidP="00432AE8">
      <w:pPr>
        <w:spacing w:after="240"/>
        <w:jc w:val="both"/>
        <w:rPr>
          <w:color w:val="FF0000"/>
        </w:rPr>
      </w:pPr>
    </w:p>
    <w:p w14:paraId="0A283F68" w14:textId="77777777" w:rsidR="00432AE8" w:rsidRPr="005C74AB" w:rsidRDefault="00432AE8" w:rsidP="00432AE8">
      <w:pPr>
        <w:spacing w:after="120"/>
        <w:jc w:val="both"/>
        <w:rPr>
          <w:b/>
        </w:rPr>
      </w:pPr>
      <w:r w:rsidRPr="005C74AB">
        <w:rPr>
          <w:b/>
          <w:bCs/>
        </w:rPr>
        <w:t xml:space="preserve">13. </w:t>
      </w:r>
      <w:r w:rsidRPr="005C74AB">
        <w:rPr>
          <w:b/>
          <w:bCs/>
          <w:u w:val="single"/>
        </w:rPr>
        <w:t>Anexo I.1.</w:t>
      </w:r>
      <w:r w:rsidRPr="005C74AB">
        <w:rPr>
          <w:b/>
        </w:rPr>
        <w:t xml:space="preserve"> En 2023 está prevista la subida de las cotizaciones, así como en 2022 y 2023 el convenio de aplicación marca subidas para las categorías de auxiliar/cuidador. ¿A medida que sucedan estas cuestiones se revisa el precio de licitación?</w:t>
      </w:r>
    </w:p>
    <w:p w14:paraId="4515200B" w14:textId="77777777" w:rsidR="00432AE8" w:rsidRPr="005C74AB" w:rsidRDefault="00432AE8" w:rsidP="00432AE8">
      <w:pPr>
        <w:spacing w:after="240"/>
        <w:jc w:val="both"/>
        <w:rPr>
          <w:b/>
          <w:bCs/>
          <w:u w:val="single"/>
        </w:rPr>
      </w:pPr>
      <w:r w:rsidRPr="005C74AB">
        <w:rPr>
          <w:color w:val="FF0000"/>
        </w:rPr>
        <w:t>De acuerdo con la cláusula específica 5.4 del PCAP no procede la revisión de precios.</w:t>
      </w:r>
      <w:r w:rsidRPr="005C74AB">
        <w:rPr>
          <w:b/>
          <w:bCs/>
          <w:u w:val="single"/>
        </w:rPr>
        <w:t xml:space="preserve"> </w:t>
      </w:r>
    </w:p>
    <w:p w14:paraId="567B26BA" w14:textId="77777777" w:rsidR="00432AE8" w:rsidRPr="005C74AB" w:rsidRDefault="00432AE8" w:rsidP="00432AE8">
      <w:pPr>
        <w:spacing w:after="120"/>
        <w:jc w:val="both"/>
        <w:rPr>
          <w:b/>
        </w:rPr>
      </w:pPr>
      <w:r w:rsidRPr="005C74AB">
        <w:rPr>
          <w:b/>
          <w:bCs/>
        </w:rPr>
        <w:t xml:space="preserve">14. </w:t>
      </w:r>
      <w:r w:rsidRPr="005C74AB">
        <w:rPr>
          <w:b/>
          <w:bCs/>
          <w:u w:val="single"/>
        </w:rPr>
        <w:t>Anexo I.1.</w:t>
      </w:r>
      <w:r w:rsidRPr="005C74AB">
        <w:rPr>
          <w:b/>
        </w:rPr>
        <w:t xml:space="preserve"> Se indica una tabla con el número medio de horas diarias que se tienen en cuenta para el cálculo del presupuesto base de la licitación. Estas horas multiplicadas por el número de días de comedor (180 días) no cuadra con la tabla que aparece a continuación donde se indica número de horas ejecutadas en el curso 2020/2021. Este es bastante inferior el dato que se toma para el cálculo del presupuesto. Cual habría que tener en cuenta.  </w:t>
      </w:r>
    </w:p>
    <w:p w14:paraId="4D899A84" w14:textId="3A608F42" w:rsidR="00432AE8" w:rsidRPr="005C74AB" w:rsidRDefault="00432AE8" w:rsidP="00432AE8">
      <w:pPr>
        <w:spacing w:after="240"/>
        <w:jc w:val="both"/>
        <w:rPr>
          <w:bCs/>
          <w:strike/>
          <w:color w:val="FF0000"/>
        </w:rPr>
      </w:pPr>
      <w:r w:rsidRPr="005C74AB">
        <w:rPr>
          <w:bCs/>
          <w:color w:val="FF0000"/>
        </w:rPr>
        <w:t>Para el cálculo del presupuesto base de licitación se ha tenido en cuenta el número de horas diarias del personal para el curso 2019/2020</w:t>
      </w:r>
      <w:r w:rsidR="00B969A6" w:rsidRPr="005C74AB">
        <w:rPr>
          <w:bCs/>
          <w:color w:val="FF0000"/>
        </w:rPr>
        <w:t xml:space="preserve">. </w:t>
      </w:r>
    </w:p>
    <w:p w14:paraId="32F997D7" w14:textId="77777777" w:rsidR="00432AE8" w:rsidRPr="005C74AB" w:rsidRDefault="00432AE8" w:rsidP="00432AE8">
      <w:pPr>
        <w:spacing w:after="120"/>
        <w:jc w:val="both"/>
        <w:rPr>
          <w:b/>
        </w:rPr>
      </w:pPr>
      <w:r w:rsidRPr="005C74AB">
        <w:rPr>
          <w:b/>
          <w:bCs/>
        </w:rPr>
        <w:t xml:space="preserve">15. </w:t>
      </w:r>
      <w:r w:rsidRPr="005C74AB">
        <w:rPr>
          <w:b/>
          <w:bCs/>
          <w:u w:val="single"/>
        </w:rPr>
        <w:t>Pliego de cláusulas administrativas particulares, en el punto 22.2.2</w:t>
      </w:r>
      <w:r w:rsidRPr="005C74AB">
        <w:rPr>
          <w:b/>
        </w:rPr>
        <w:t xml:space="preserve"> Criterios evaluables de forma automática-criterios de sostenibilidad ambiental, calidad y social, en relación a los productos, ¿estarían los sellos de sostenibilidad MSC y el sello AENOR de Bienestar animal dentro de las etiquetas Ecológicas Europeas o equivalentes o se podrían considerar un certificado de calidad?</w:t>
      </w:r>
    </w:p>
    <w:p w14:paraId="2C42DD70" w14:textId="77777777" w:rsidR="00432AE8" w:rsidRPr="005C74AB" w:rsidRDefault="00432AE8" w:rsidP="00432AE8">
      <w:pPr>
        <w:spacing w:after="240" w:line="240" w:lineRule="auto"/>
        <w:jc w:val="both"/>
        <w:rPr>
          <w:rFonts w:cstheme="minorHAnsi"/>
          <w:color w:val="FF0000"/>
        </w:rPr>
      </w:pPr>
      <w:r w:rsidRPr="005C74AB">
        <w:rPr>
          <w:color w:val="FF0000"/>
        </w:rPr>
        <w:t xml:space="preserve">Los sellos de sostenibilidad MSC se tendrán en cuenta dentro del apartado de </w:t>
      </w:r>
      <w:r w:rsidRPr="005C74AB">
        <w:rPr>
          <w:rFonts w:cstheme="minorHAnsi"/>
          <w:color w:val="FF0000"/>
        </w:rPr>
        <w:t xml:space="preserve">Etiquetas Ecológicas Europeas o equivalentes. En cambio, </w:t>
      </w:r>
      <w:r w:rsidRPr="005C74AB">
        <w:rPr>
          <w:color w:val="FF0000"/>
        </w:rPr>
        <w:t xml:space="preserve">el sello AENOR de Bienestar animal se </w:t>
      </w:r>
      <w:r w:rsidRPr="005C74AB">
        <w:rPr>
          <w:rFonts w:cstheme="minorHAnsi"/>
          <w:color w:val="FF0000"/>
        </w:rPr>
        <w:t xml:space="preserve">cataloga dentro de los Certificados de Calidad, Eusko Label, Euskal Baserri, DOP, IDG, ETG u otros similares; en estos últimos casos la certificación aceptada es la basada en los protocolos Welfair™. </w:t>
      </w:r>
    </w:p>
    <w:p w14:paraId="1C35CC5C" w14:textId="77777777" w:rsidR="00432AE8" w:rsidRPr="005C74AB" w:rsidRDefault="00432AE8" w:rsidP="00432AE8">
      <w:pPr>
        <w:spacing w:after="120"/>
        <w:jc w:val="both"/>
        <w:rPr>
          <w:b/>
        </w:rPr>
      </w:pPr>
      <w:r w:rsidRPr="005C74AB">
        <w:rPr>
          <w:b/>
          <w:bCs/>
        </w:rPr>
        <w:t xml:space="preserve">16. </w:t>
      </w:r>
      <w:r w:rsidRPr="005C74AB">
        <w:rPr>
          <w:b/>
          <w:bCs/>
          <w:u w:val="single"/>
        </w:rPr>
        <w:t xml:space="preserve">Pliego de cláusulas administrativas particulares, en el punto 22.2.2 </w:t>
      </w:r>
      <w:r w:rsidRPr="005C74AB">
        <w:rPr>
          <w:b/>
        </w:rPr>
        <w:t>Criterios evaluables de forma automática-criterios de sostenibilidad ambiental, calidad y social, en relación a los productos, ¿se consideran evaluables los productos de limpieza y desechables utilizados habitualmente en la cocina y en los comedores?</w:t>
      </w:r>
    </w:p>
    <w:p w14:paraId="56EDA183" w14:textId="77777777" w:rsidR="00D63E64" w:rsidRPr="005C74AB" w:rsidRDefault="00432AE8" w:rsidP="00A32D41">
      <w:pPr>
        <w:tabs>
          <w:tab w:val="left" w:pos="0"/>
        </w:tabs>
        <w:spacing w:before="120" w:after="120" w:line="240" w:lineRule="auto"/>
        <w:jc w:val="both"/>
        <w:rPr>
          <w:rFonts w:cstheme="minorHAnsi"/>
          <w:color w:val="FF0000"/>
        </w:rPr>
      </w:pPr>
      <w:r w:rsidRPr="005C74AB">
        <w:rPr>
          <w:rFonts w:cstheme="minorHAnsi"/>
          <w:bCs/>
          <w:color w:val="FF0000"/>
        </w:rPr>
        <w:t>No. De acuerdo con lo establecido en la cláusula específica 22.2 del PCAP, en todo momento se habla de productos “</w:t>
      </w:r>
      <w:r w:rsidRPr="005C74AB">
        <w:rPr>
          <w:rFonts w:cstheme="minorHAnsi"/>
          <w:color w:val="FF0000"/>
        </w:rPr>
        <w:t xml:space="preserve">a incluir en el menú semanal”. </w:t>
      </w:r>
      <w:bookmarkStart w:id="0" w:name="_GoBack"/>
      <w:bookmarkEnd w:id="0"/>
    </w:p>
    <w:sectPr w:rsidR="00D63E64" w:rsidRPr="005C74A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795A"/>
    <w:multiLevelType w:val="hybridMultilevel"/>
    <w:tmpl w:val="B57263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550064"/>
    <w:multiLevelType w:val="multilevel"/>
    <w:tmpl w:val="2FE4A706"/>
    <w:lvl w:ilvl="0">
      <w:start w:val="2"/>
      <w:numFmt w:val="upperRoman"/>
      <w:lvlText w:val="%1."/>
      <w:lvlJc w:val="right"/>
      <w:pPr>
        <w:tabs>
          <w:tab w:val="num" w:pos="720"/>
        </w:tabs>
        <w:ind w:left="720" w:hanging="360"/>
      </w:pPr>
    </w:lvl>
    <w:lvl w:ilvl="1">
      <w:start w:val="1"/>
      <w:numFmt w:val="lowerLetter"/>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2" w15:restartNumberingAfterBreak="0">
    <w:nsid w:val="1172660C"/>
    <w:multiLevelType w:val="multilevel"/>
    <w:tmpl w:val="49B63830"/>
    <w:lvl w:ilvl="0">
      <w:start w:val="2"/>
      <w:numFmt w:val="upperRoman"/>
      <w:lvlText w:val="%1."/>
      <w:lvlJc w:val="right"/>
      <w:pPr>
        <w:tabs>
          <w:tab w:val="num" w:pos="720"/>
        </w:tabs>
        <w:ind w:left="720" w:hanging="360"/>
      </w:pPr>
    </w:lvl>
    <w:lvl w:ilvl="1">
      <w:start w:val="2"/>
      <w:numFmt w:val="lowerLetter"/>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3" w15:restartNumberingAfterBreak="0">
    <w:nsid w:val="29C81F8B"/>
    <w:multiLevelType w:val="hybridMultilevel"/>
    <w:tmpl w:val="ADC01EAC"/>
    <w:lvl w:ilvl="0" w:tplc="0A1C0DA6">
      <w:start w:val="1"/>
      <w:numFmt w:val="bullet"/>
      <w:lvlText w:val=""/>
      <w:lvlJc w:val="left"/>
      <w:pPr>
        <w:ind w:left="720" w:hanging="360"/>
      </w:pPr>
      <w:rPr>
        <w:rFonts w:ascii="Symbol" w:eastAsia="Calibri" w:hAnsi="Symbol" w:cs="Times New Roman"/>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5D486472"/>
    <w:multiLevelType w:val="hybridMultilevel"/>
    <w:tmpl w:val="A2A03FD0"/>
    <w:lvl w:ilvl="0" w:tplc="3852F28C">
      <w:start w:val="1"/>
      <w:numFmt w:val="decimal"/>
      <w:lvlText w:val="%1."/>
      <w:lvlJc w:val="left"/>
      <w:pPr>
        <w:tabs>
          <w:tab w:val="num" w:pos="860"/>
        </w:tabs>
        <w:ind w:left="860" w:hanging="360"/>
      </w:pPr>
    </w:lvl>
    <w:lvl w:ilvl="1" w:tplc="0C0A0001">
      <w:start w:val="1"/>
      <w:numFmt w:val="bullet"/>
      <w:lvlText w:val=""/>
      <w:lvlJc w:val="left"/>
      <w:pPr>
        <w:tabs>
          <w:tab w:val="num" w:pos="1580"/>
        </w:tabs>
        <w:ind w:left="1580" w:hanging="360"/>
      </w:pPr>
      <w:rPr>
        <w:rFonts w:ascii="Symbol" w:hAnsi="Symbol" w:hint="default"/>
      </w:rPr>
    </w:lvl>
    <w:lvl w:ilvl="2" w:tplc="0C0A001B">
      <w:start w:val="1"/>
      <w:numFmt w:val="lowerRoman"/>
      <w:lvlText w:val="%3."/>
      <w:lvlJc w:val="right"/>
      <w:pPr>
        <w:tabs>
          <w:tab w:val="num" w:pos="2300"/>
        </w:tabs>
        <w:ind w:left="2300" w:hanging="180"/>
      </w:pPr>
    </w:lvl>
    <w:lvl w:ilvl="3" w:tplc="0C0A000F">
      <w:start w:val="1"/>
      <w:numFmt w:val="decimal"/>
      <w:lvlText w:val="%4."/>
      <w:lvlJc w:val="left"/>
      <w:pPr>
        <w:tabs>
          <w:tab w:val="num" w:pos="3020"/>
        </w:tabs>
        <w:ind w:left="3020" w:hanging="360"/>
      </w:pPr>
    </w:lvl>
    <w:lvl w:ilvl="4" w:tplc="0C0A0019">
      <w:start w:val="1"/>
      <w:numFmt w:val="lowerLetter"/>
      <w:lvlText w:val="%5."/>
      <w:lvlJc w:val="left"/>
      <w:pPr>
        <w:tabs>
          <w:tab w:val="num" w:pos="3740"/>
        </w:tabs>
        <w:ind w:left="3740" w:hanging="360"/>
      </w:pPr>
    </w:lvl>
    <w:lvl w:ilvl="5" w:tplc="0C0A001B">
      <w:start w:val="1"/>
      <w:numFmt w:val="lowerRoman"/>
      <w:lvlText w:val="%6."/>
      <w:lvlJc w:val="right"/>
      <w:pPr>
        <w:tabs>
          <w:tab w:val="num" w:pos="4460"/>
        </w:tabs>
        <w:ind w:left="4460" w:hanging="180"/>
      </w:pPr>
    </w:lvl>
    <w:lvl w:ilvl="6" w:tplc="0C0A000F">
      <w:start w:val="1"/>
      <w:numFmt w:val="decimal"/>
      <w:lvlText w:val="%7."/>
      <w:lvlJc w:val="left"/>
      <w:pPr>
        <w:tabs>
          <w:tab w:val="num" w:pos="5180"/>
        </w:tabs>
        <w:ind w:left="5180" w:hanging="360"/>
      </w:pPr>
    </w:lvl>
    <w:lvl w:ilvl="7" w:tplc="0C0A0019">
      <w:start w:val="1"/>
      <w:numFmt w:val="lowerLetter"/>
      <w:lvlText w:val="%8."/>
      <w:lvlJc w:val="left"/>
      <w:pPr>
        <w:tabs>
          <w:tab w:val="num" w:pos="5900"/>
        </w:tabs>
        <w:ind w:left="5900" w:hanging="360"/>
      </w:pPr>
    </w:lvl>
    <w:lvl w:ilvl="8" w:tplc="0C0A001B">
      <w:start w:val="1"/>
      <w:numFmt w:val="lowerRoman"/>
      <w:lvlText w:val="%9."/>
      <w:lvlJc w:val="right"/>
      <w:pPr>
        <w:tabs>
          <w:tab w:val="num" w:pos="6620"/>
        </w:tabs>
        <w:ind w:left="6620" w:hanging="180"/>
      </w:pPr>
    </w:lvl>
  </w:abstractNum>
  <w:abstractNum w:abstractNumId="5" w15:restartNumberingAfterBreak="0">
    <w:nsid w:val="63975F75"/>
    <w:multiLevelType w:val="hybridMultilevel"/>
    <w:tmpl w:val="B0D096A2"/>
    <w:lvl w:ilvl="0" w:tplc="68F0293A">
      <w:start w:val="1"/>
      <w:numFmt w:val="decimal"/>
      <w:lvlText w:val="%1."/>
      <w:lvlJc w:val="left"/>
      <w:pPr>
        <w:ind w:left="720" w:hanging="360"/>
      </w:pPr>
      <w:rPr>
        <w:rFonts w:asciiTheme="minorHAnsi" w:eastAsiaTheme="minorHAnsi" w:hAnsiTheme="minorHAnsi" w:cstheme="minorBidi"/>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7EF96660"/>
    <w:multiLevelType w:val="hybridMultilevel"/>
    <w:tmpl w:val="EDA8F4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F193C3E"/>
    <w:multiLevelType w:val="hybridMultilevel"/>
    <w:tmpl w:val="C14025CA"/>
    <w:lvl w:ilvl="0" w:tplc="75362B98">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0"/>
  </w:num>
  <w:num w:numId="5">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FB0"/>
    <w:rsid w:val="001111B9"/>
    <w:rsid w:val="002D0BA8"/>
    <w:rsid w:val="00324AC6"/>
    <w:rsid w:val="00330CC3"/>
    <w:rsid w:val="00352C71"/>
    <w:rsid w:val="00432AE8"/>
    <w:rsid w:val="004A3F42"/>
    <w:rsid w:val="004F336A"/>
    <w:rsid w:val="005C395E"/>
    <w:rsid w:val="005C74AB"/>
    <w:rsid w:val="00635026"/>
    <w:rsid w:val="0078400E"/>
    <w:rsid w:val="009067C4"/>
    <w:rsid w:val="00A077B4"/>
    <w:rsid w:val="00A20ECE"/>
    <w:rsid w:val="00A32D41"/>
    <w:rsid w:val="00A55B12"/>
    <w:rsid w:val="00B969A6"/>
    <w:rsid w:val="00BB4FB0"/>
    <w:rsid w:val="00BC332B"/>
    <w:rsid w:val="00BE6ADD"/>
    <w:rsid w:val="00C02040"/>
    <w:rsid w:val="00C171A4"/>
    <w:rsid w:val="00CA57E1"/>
    <w:rsid w:val="00CB23AB"/>
    <w:rsid w:val="00D55E91"/>
    <w:rsid w:val="00D63E64"/>
    <w:rsid w:val="00D720D0"/>
    <w:rsid w:val="00E079BF"/>
    <w:rsid w:val="00E832B6"/>
    <w:rsid w:val="00EB0195"/>
    <w:rsid w:val="00F14F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EEF68"/>
  <w15:chartTrackingRefBased/>
  <w15:docId w15:val="{4B127AB3-221F-4E0C-89F9-7C8A99BC4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34"/>
    <w:qFormat/>
    <w:rsid w:val="00BC332B"/>
    <w:pPr>
      <w:ind w:left="720"/>
      <w:contextualSpacing/>
    </w:pPr>
  </w:style>
  <w:style w:type="paragraph" w:customStyle="1" w:styleId="xxmsolistparagraph">
    <w:name w:val="x_xmsolistparagraph"/>
    <w:basedOn w:val="Normala"/>
    <w:rsid w:val="00CB23AB"/>
    <w:pPr>
      <w:spacing w:after="0" w:line="240" w:lineRule="auto"/>
      <w:ind w:left="708"/>
    </w:pPr>
    <w:rPr>
      <w:rFonts w:ascii="Times New Roman" w:hAnsi="Times New Roman" w:cs="Times New Roman"/>
      <w:sz w:val="24"/>
      <w:szCs w:val="24"/>
      <w:lang w:eastAsia="es-ES"/>
    </w:rPr>
  </w:style>
  <w:style w:type="character" w:styleId="Iruzkinarenerreferentzia">
    <w:name w:val="annotation reference"/>
    <w:basedOn w:val="Paragrafoarenletra-tipolehenetsia"/>
    <w:uiPriority w:val="99"/>
    <w:semiHidden/>
    <w:unhideWhenUsed/>
    <w:rsid w:val="00330CC3"/>
    <w:rPr>
      <w:sz w:val="16"/>
      <w:szCs w:val="16"/>
    </w:rPr>
  </w:style>
  <w:style w:type="paragraph" w:styleId="Iruzkinarentestua">
    <w:name w:val="annotation text"/>
    <w:basedOn w:val="Normala"/>
    <w:link w:val="IruzkinarentestuaKar"/>
    <w:uiPriority w:val="99"/>
    <w:semiHidden/>
    <w:unhideWhenUsed/>
    <w:rsid w:val="00330CC3"/>
    <w:pPr>
      <w:spacing w:line="240" w:lineRule="auto"/>
    </w:pPr>
    <w:rPr>
      <w:sz w:val="20"/>
      <w:szCs w:val="20"/>
    </w:rPr>
  </w:style>
  <w:style w:type="character" w:customStyle="1" w:styleId="IruzkinarentestuaKar">
    <w:name w:val="Iruzkinaren testua Kar"/>
    <w:basedOn w:val="Paragrafoarenletra-tipolehenetsia"/>
    <w:link w:val="Iruzkinarentestua"/>
    <w:uiPriority w:val="99"/>
    <w:semiHidden/>
    <w:rsid w:val="00330CC3"/>
    <w:rPr>
      <w:sz w:val="20"/>
      <w:szCs w:val="20"/>
    </w:rPr>
  </w:style>
  <w:style w:type="paragraph" w:styleId="Iruzkinarengaia">
    <w:name w:val="annotation subject"/>
    <w:basedOn w:val="Iruzkinarentestua"/>
    <w:next w:val="Iruzkinarentestua"/>
    <w:link w:val="IruzkinarengaiaKar"/>
    <w:uiPriority w:val="99"/>
    <w:semiHidden/>
    <w:unhideWhenUsed/>
    <w:rsid w:val="00330CC3"/>
    <w:rPr>
      <w:b/>
      <w:bCs/>
    </w:rPr>
  </w:style>
  <w:style w:type="character" w:customStyle="1" w:styleId="IruzkinarengaiaKar">
    <w:name w:val="Iruzkinaren gaia Kar"/>
    <w:basedOn w:val="IruzkinarentestuaKar"/>
    <w:link w:val="Iruzkinarengaia"/>
    <w:uiPriority w:val="99"/>
    <w:semiHidden/>
    <w:rsid w:val="00330CC3"/>
    <w:rPr>
      <w:b/>
      <w:bCs/>
      <w:sz w:val="20"/>
      <w:szCs w:val="20"/>
    </w:rPr>
  </w:style>
  <w:style w:type="paragraph" w:styleId="Bunbuiloarentestua">
    <w:name w:val="Balloon Text"/>
    <w:basedOn w:val="Normala"/>
    <w:link w:val="BunbuiloarentestuaKar"/>
    <w:uiPriority w:val="99"/>
    <w:semiHidden/>
    <w:unhideWhenUsed/>
    <w:rsid w:val="00330CC3"/>
    <w:pPr>
      <w:spacing w:after="0" w:line="240" w:lineRule="auto"/>
    </w:pPr>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330C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603512">
      <w:bodyDiv w:val="1"/>
      <w:marLeft w:val="0"/>
      <w:marRight w:val="0"/>
      <w:marTop w:val="0"/>
      <w:marBottom w:val="0"/>
      <w:divBdr>
        <w:top w:val="none" w:sz="0" w:space="0" w:color="auto"/>
        <w:left w:val="none" w:sz="0" w:space="0" w:color="auto"/>
        <w:bottom w:val="none" w:sz="0" w:space="0" w:color="auto"/>
        <w:right w:val="none" w:sz="0" w:space="0" w:color="auto"/>
      </w:divBdr>
    </w:div>
    <w:div w:id="701436508">
      <w:bodyDiv w:val="1"/>
      <w:marLeft w:val="0"/>
      <w:marRight w:val="0"/>
      <w:marTop w:val="0"/>
      <w:marBottom w:val="0"/>
      <w:divBdr>
        <w:top w:val="none" w:sz="0" w:space="0" w:color="auto"/>
        <w:left w:val="none" w:sz="0" w:space="0" w:color="auto"/>
        <w:bottom w:val="none" w:sz="0" w:space="0" w:color="auto"/>
        <w:right w:val="none" w:sz="0" w:space="0" w:color="auto"/>
      </w:divBdr>
    </w:div>
    <w:div w:id="1277056375">
      <w:bodyDiv w:val="1"/>
      <w:marLeft w:val="0"/>
      <w:marRight w:val="0"/>
      <w:marTop w:val="0"/>
      <w:marBottom w:val="0"/>
      <w:divBdr>
        <w:top w:val="none" w:sz="0" w:space="0" w:color="auto"/>
        <w:left w:val="none" w:sz="0" w:space="0" w:color="auto"/>
        <w:bottom w:val="none" w:sz="0" w:space="0" w:color="auto"/>
        <w:right w:val="none" w:sz="0" w:space="0" w:color="auto"/>
      </w:divBdr>
    </w:div>
    <w:div w:id="1349987482">
      <w:bodyDiv w:val="1"/>
      <w:marLeft w:val="0"/>
      <w:marRight w:val="0"/>
      <w:marTop w:val="0"/>
      <w:marBottom w:val="0"/>
      <w:divBdr>
        <w:top w:val="none" w:sz="0" w:space="0" w:color="auto"/>
        <w:left w:val="none" w:sz="0" w:space="0" w:color="auto"/>
        <w:bottom w:val="none" w:sz="0" w:space="0" w:color="auto"/>
        <w:right w:val="none" w:sz="0" w:space="0" w:color="auto"/>
      </w:divBdr>
    </w:div>
    <w:div w:id="164450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4F1F470CEFF044A0BD65472BC316D8" ma:contentTypeVersion="12" ma:contentTypeDescription="Create a new document." ma:contentTypeScope="" ma:versionID="c53693f1d1bf243229f0946f40f109f7">
  <xsd:schema xmlns:xsd="http://www.w3.org/2001/XMLSchema" xmlns:xs="http://www.w3.org/2001/XMLSchema" xmlns:p="http://schemas.microsoft.com/office/2006/metadata/properties" xmlns:ns3="7c2aa45a-f3f0-4f85-bebf-55669117ef93" xmlns:ns4="a7a4dba7-1abe-4964-85b5-97c10e2a8b68" targetNamespace="http://schemas.microsoft.com/office/2006/metadata/properties" ma:root="true" ma:fieldsID="747ed216601393ecd225c38669134647" ns3:_="" ns4:_="">
    <xsd:import namespace="7c2aa45a-f3f0-4f85-bebf-55669117ef93"/>
    <xsd:import namespace="a7a4dba7-1abe-4964-85b5-97c10e2a8b6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aa45a-f3f0-4f85-bebf-55669117ef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a4dba7-1abe-4964-85b5-97c10e2a8b6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EE194C-0F1D-4854-8257-24CD8E551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aa45a-f3f0-4f85-bebf-55669117ef93"/>
    <ds:schemaRef ds:uri="a7a4dba7-1abe-4964-85b5-97c10e2a8b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63E291-91AE-4E4F-9A99-2C44D19BC043}">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7c2aa45a-f3f0-4f85-bebf-55669117ef93"/>
    <ds:schemaRef ds:uri="http://schemas.microsoft.com/office/infopath/2007/PartnerControls"/>
    <ds:schemaRef ds:uri="http://purl.org/dc/elements/1.1/"/>
    <ds:schemaRef ds:uri="a7a4dba7-1abe-4964-85b5-97c10e2a8b68"/>
    <ds:schemaRef ds:uri="http://www.w3.org/XML/1998/namespace"/>
    <ds:schemaRef ds:uri="http://purl.org/dc/dcmitype/"/>
  </ds:schemaRefs>
</ds:datastoreItem>
</file>

<file path=customXml/itemProps3.xml><?xml version="1.0" encoding="utf-8"?>
<ds:datastoreItem xmlns:ds="http://schemas.openxmlformats.org/officeDocument/2006/customXml" ds:itemID="{2091E3BE-AF40-4BAA-B6A0-FBC2760F20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1981</Words>
  <Characters>11294</Characters>
  <Application>Microsoft Office Word</Application>
  <DocSecurity>0</DocSecurity>
  <Lines>94</Lines>
  <Paragraphs>26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Eusko Jaurlaritza Gobierno Vasco</Company>
  <LinksUpToDate>false</LinksUpToDate>
  <CharactersWithSpaces>13249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Herran Reino, Ainhoa</dc:creator>
  <cp:keywords/>
  <dc:description/>
  <cp:lastModifiedBy>Basauri Bengoa, Iñaki</cp:lastModifiedBy>
  <cp:revision>4</cp:revision>
  <dcterms:created xsi:type="dcterms:W3CDTF">2021-12-20T09:53:00Z</dcterms:created>
  <dcterms:modified xsi:type="dcterms:W3CDTF">2021-12-20T09:59:00Z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0x0101001F4F1F470CEFF044A0BD65472BC316D8</vt:lpwstr>
  </property>
</Properties>
</file>