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AE3A6" w14:textId="35FB746A" w:rsidR="007E653E" w:rsidRPr="00ED28C8" w:rsidRDefault="007E653E" w:rsidP="006D038C">
      <w:pPr>
        <w:spacing w:before="120" w:line="360" w:lineRule="auto"/>
        <w:jc w:val="both"/>
        <w:rPr>
          <w:rFonts w:ascii="Century Gothic" w:hAnsi="Century Gothic"/>
          <w:b/>
          <w:caps/>
          <w:u w:val="single"/>
        </w:rPr>
      </w:pPr>
      <w:r w:rsidRPr="00ED28C8">
        <w:rPr>
          <w:rFonts w:ascii="Century Gothic" w:hAnsi="Century Gothic"/>
          <w:b/>
          <w:caps/>
          <w:u w:val="single"/>
        </w:rPr>
        <w:t xml:space="preserve">Pliego </w:t>
      </w:r>
      <w:r w:rsidR="00806CC6" w:rsidRPr="00ED28C8">
        <w:rPr>
          <w:rFonts w:ascii="Century Gothic" w:hAnsi="Century Gothic"/>
          <w:b/>
          <w:caps/>
          <w:u w:val="single"/>
        </w:rPr>
        <w:t xml:space="preserve">TÉCNICO </w:t>
      </w:r>
      <w:r w:rsidRPr="00ED28C8">
        <w:rPr>
          <w:rFonts w:ascii="Century Gothic" w:hAnsi="Century Gothic"/>
          <w:b/>
          <w:caps/>
          <w:u w:val="single"/>
        </w:rPr>
        <w:t>para la CONTRATACIÓN DE LA REALIZACIÓN DE UNA AUDITORÍA ENERGÉTICA Y LOS TRABAJOS DE REDACCIÓN DEL PLAN DE CLIMA Y ENERGÍA</w:t>
      </w:r>
    </w:p>
    <w:p w14:paraId="48B7538A" w14:textId="77777777" w:rsidR="007E653E" w:rsidRPr="006D038C" w:rsidRDefault="007E653E" w:rsidP="006D038C">
      <w:pPr>
        <w:spacing w:before="120" w:line="360" w:lineRule="auto"/>
        <w:jc w:val="center"/>
        <w:rPr>
          <w:rFonts w:ascii="Century Gothic" w:hAnsi="Century Gothic"/>
          <w:b/>
          <w:caps/>
          <w:sz w:val="20"/>
          <w:szCs w:val="20"/>
          <w:u w:val="single"/>
        </w:rPr>
      </w:pPr>
    </w:p>
    <w:p w14:paraId="26C13E3C" w14:textId="4F9DC319" w:rsidR="007E653E" w:rsidRPr="006D038C" w:rsidRDefault="007E653E" w:rsidP="006D038C">
      <w:pPr>
        <w:spacing w:before="120" w:line="360" w:lineRule="auto"/>
        <w:jc w:val="both"/>
        <w:rPr>
          <w:rFonts w:ascii="Century Gothic" w:hAnsi="Century Gothic"/>
          <w:b/>
          <w:caps/>
          <w:sz w:val="20"/>
          <w:szCs w:val="20"/>
          <w:u w:val="single"/>
        </w:rPr>
      </w:pPr>
    </w:p>
    <w:sdt>
      <w:sdtPr>
        <w:rPr>
          <w:rFonts w:ascii="Times New Roman" w:eastAsia="Times New Roman" w:hAnsi="Times New Roman" w:cs="Times New Roman"/>
          <w:color w:val="auto"/>
          <w:sz w:val="24"/>
          <w:szCs w:val="24"/>
        </w:rPr>
        <w:id w:val="77873257"/>
        <w:docPartObj>
          <w:docPartGallery w:val="Table of Contents"/>
          <w:docPartUnique/>
        </w:docPartObj>
      </w:sdtPr>
      <w:sdtEndPr>
        <w:rPr>
          <w:b/>
          <w:bCs/>
        </w:rPr>
      </w:sdtEndPr>
      <w:sdtContent>
        <w:p w14:paraId="79FFE8C9" w14:textId="3A2160CA" w:rsidR="005C4494" w:rsidRPr="00ED28C8" w:rsidRDefault="005C4494">
          <w:pPr>
            <w:pStyle w:val="TtuloTDC"/>
            <w:rPr>
              <w:rFonts w:ascii="Century Gothic" w:hAnsi="Century Gothic"/>
              <w:b/>
            </w:rPr>
          </w:pPr>
          <w:r w:rsidRPr="00ED28C8">
            <w:rPr>
              <w:rFonts w:ascii="Century Gothic" w:hAnsi="Century Gothic"/>
              <w:b/>
            </w:rPr>
            <w:t xml:space="preserve">ÍNDICE </w:t>
          </w:r>
        </w:p>
        <w:p w14:paraId="2D8AF45C" w14:textId="77777777" w:rsidR="005C4494" w:rsidRPr="005C4494" w:rsidRDefault="005C4494" w:rsidP="005C4494"/>
        <w:p w14:paraId="3EB53547" w14:textId="5BCCADCF" w:rsidR="00423A9E" w:rsidRDefault="005C4494">
          <w:pPr>
            <w:pStyle w:val="TDC1"/>
            <w:tabs>
              <w:tab w:val="right" w:leader="dot" w:pos="8494"/>
            </w:tabs>
            <w:rPr>
              <w:rFonts w:asciiTheme="minorHAnsi" w:eastAsiaTheme="minorEastAsia" w:hAnsiTheme="minorHAnsi" w:cstheme="minorBidi"/>
              <w:noProof/>
              <w:sz w:val="22"/>
              <w:szCs w:val="22"/>
            </w:rPr>
          </w:pPr>
          <w:r w:rsidRPr="00524327">
            <w:rPr>
              <w:rFonts w:ascii="Century Gothic" w:hAnsi="Century Gothic"/>
            </w:rPr>
            <w:fldChar w:fldCharType="begin"/>
          </w:r>
          <w:r w:rsidRPr="00524327">
            <w:rPr>
              <w:rFonts w:ascii="Century Gothic" w:hAnsi="Century Gothic"/>
            </w:rPr>
            <w:instrText xml:space="preserve"> TOC \o "1-3" \h \z \u </w:instrText>
          </w:r>
          <w:r w:rsidRPr="00524327">
            <w:rPr>
              <w:rFonts w:ascii="Century Gothic" w:hAnsi="Century Gothic"/>
            </w:rPr>
            <w:fldChar w:fldCharType="separate"/>
          </w:r>
          <w:hyperlink w:anchor="_Toc118290668" w:history="1">
            <w:r w:rsidR="00423A9E" w:rsidRPr="006A5390">
              <w:rPr>
                <w:rStyle w:val="Hipervnculo"/>
                <w:rFonts w:ascii="Century Gothic" w:hAnsi="Century Gothic"/>
                <w:b/>
                <w:noProof/>
              </w:rPr>
              <w:t>1. INTRODUCCIÓN</w:t>
            </w:r>
            <w:r w:rsidR="00423A9E">
              <w:rPr>
                <w:noProof/>
                <w:webHidden/>
              </w:rPr>
              <w:tab/>
            </w:r>
            <w:r w:rsidR="00423A9E">
              <w:rPr>
                <w:noProof/>
                <w:webHidden/>
              </w:rPr>
              <w:fldChar w:fldCharType="begin"/>
            </w:r>
            <w:r w:rsidR="00423A9E">
              <w:rPr>
                <w:noProof/>
                <w:webHidden/>
              </w:rPr>
              <w:instrText xml:space="preserve"> PAGEREF _Toc118290668 \h </w:instrText>
            </w:r>
            <w:r w:rsidR="00423A9E">
              <w:rPr>
                <w:noProof/>
                <w:webHidden/>
              </w:rPr>
            </w:r>
            <w:r w:rsidR="00423A9E">
              <w:rPr>
                <w:noProof/>
                <w:webHidden/>
              </w:rPr>
              <w:fldChar w:fldCharType="separate"/>
            </w:r>
            <w:r w:rsidR="00423A9E">
              <w:rPr>
                <w:noProof/>
                <w:webHidden/>
              </w:rPr>
              <w:t>2</w:t>
            </w:r>
            <w:r w:rsidR="00423A9E">
              <w:rPr>
                <w:noProof/>
                <w:webHidden/>
              </w:rPr>
              <w:fldChar w:fldCharType="end"/>
            </w:r>
          </w:hyperlink>
        </w:p>
        <w:p w14:paraId="48C9A9F4" w14:textId="004A3D1C" w:rsidR="00423A9E" w:rsidRDefault="00495E37">
          <w:pPr>
            <w:pStyle w:val="TDC1"/>
            <w:tabs>
              <w:tab w:val="right" w:leader="dot" w:pos="8494"/>
            </w:tabs>
            <w:rPr>
              <w:rFonts w:asciiTheme="minorHAnsi" w:eastAsiaTheme="minorEastAsia" w:hAnsiTheme="minorHAnsi" w:cstheme="minorBidi"/>
              <w:noProof/>
              <w:sz w:val="22"/>
              <w:szCs w:val="22"/>
            </w:rPr>
          </w:pPr>
          <w:hyperlink w:anchor="_Toc118290669" w:history="1">
            <w:r w:rsidR="00423A9E" w:rsidRPr="006A5390">
              <w:rPr>
                <w:rStyle w:val="Hipervnculo"/>
                <w:rFonts w:ascii="Century Gothic" w:hAnsi="Century Gothic"/>
                <w:b/>
                <w:noProof/>
              </w:rPr>
              <w:t>2. OBJETO DEL CONTRATO</w:t>
            </w:r>
            <w:r w:rsidR="00423A9E">
              <w:rPr>
                <w:noProof/>
                <w:webHidden/>
              </w:rPr>
              <w:tab/>
            </w:r>
            <w:r w:rsidR="00423A9E">
              <w:rPr>
                <w:noProof/>
                <w:webHidden/>
              </w:rPr>
              <w:fldChar w:fldCharType="begin"/>
            </w:r>
            <w:r w:rsidR="00423A9E">
              <w:rPr>
                <w:noProof/>
                <w:webHidden/>
              </w:rPr>
              <w:instrText xml:space="preserve"> PAGEREF _Toc118290669 \h </w:instrText>
            </w:r>
            <w:r w:rsidR="00423A9E">
              <w:rPr>
                <w:noProof/>
                <w:webHidden/>
              </w:rPr>
            </w:r>
            <w:r w:rsidR="00423A9E">
              <w:rPr>
                <w:noProof/>
                <w:webHidden/>
              </w:rPr>
              <w:fldChar w:fldCharType="separate"/>
            </w:r>
            <w:r w:rsidR="00423A9E">
              <w:rPr>
                <w:noProof/>
                <w:webHidden/>
              </w:rPr>
              <w:t>4</w:t>
            </w:r>
            <w:r w:rsidR="00423A9E">
              <w:rPr>
                <w:noProof/>
                <w:webHidden/>
              </w:rPr>
              <w:fldChar w:fldCharType="end"/>
            </w:r>
          </w:hyperlink>
        </w:p>
        <w:p w14:paraId="7B89C237" w14:textId="74E7029D" w:rsidR="00423A9E" w:rsidRDefault="00495E37">
          <w:pPr>
            <w:pStyle w:val="TDC1"/>
            <w:tabs>
              <w:tab w:val="right" w:leader="dot" w:pos="8494"/>
            </w:tabs>
            <w:rPr>
              <w:rFonts w:asciiTheme="minorHAnsi" w:eastAsiaTheme="minorEastAsia" w:hAnsiTheme="minorHAnsi" w:cstheme="minorBidi"/>
              <w:noProof/>
              <w:sz w:val="22"/>
              <w:szCs w:val="22"/>
            </w:rPr>
          </w:pPr>
          <w:hyperlink w:anchor="_Toc118290670" w:history="1">
            <w:r w:rsidR="00423A9E" w:rsidRPr="006A5390">
              <w:rPr>
                <w:rStyle w:val="Hipervnculo"/>
                <w:rFonts w:ascii="Century Gothic" w:hAnsi="Century Gothic"/>
                <w:b/>
                <w:noProof/>
              </w:rPr>
              <w:t>3. ALCANCE Y CONTENIDO</w:t>
            </w:r>
            <w:r w:rsidR="00423A9E">
              <w:rPr>
                <w:noProof/>
                <w:webHidden/>
              </w:rPr>
              <w:tab/>
            </w:r>
            <w:r w:rsidR="00423A9E">
              <w:rPr>
                <w:noProof/>
                <w:webHidden/>
              </w:rPr>
              <w:fldChar w:fldCharType="begin"/>
            </w:r>
            <w:r w:rsidR="00423A9E">
              <w:rPr>
                <w:noProof/>
                <w:webHidden/>
              </w:rPr>
              <w:instrText xml:space="preserve"> PAGEREF _Toc118290670 \h </w:instrText>
            </w:r>
            <w:r w:rsidR="00423A9E">
              <w:rPr>
                <w:noProof/>
                <w:webHidden/>
              </w:rPr>
            </w:r>
            <w:r w:rsidR="00423A9E">
              <w:rPr>
                <w:noProof/>
                <w:webHidden/>
              </w:rPr>
              <w:fldChar w:fldCharType="separate"/>
            </w:r>
            <w:r w:rsidR="00423A9E">
              <w:rPr>
                <w:noProof/>
                <w:webHidden/>
              </w:rPr>
              <w:t>5</w:t>
            </w:r>
            <w:r w:rsidR="00423A9E">
              <w:rPr>
                <w:noProof/>
                <w:webHidden/>
              </w:rPr>
              <w:fldChar w:fldCharType="end"/>
            </w:r>
          </w:hyperlink>
        </w:p>
        <w:p w14:paraId="6EECAA3E" w14:textId="686AF98D" w:rsidR="00423A9E" w:rsidRDefault="00495E37">
          <w:pPr>
            <w:pStyle w:val="TDC2"/>
            <w:tabs>
              <w:tab w:val="right" w:leader="dot" w:pos="8494"/>
            </w:tabs>
            <w:rPr>
              <w:rFonts w:asciiTheme="minorHAnsi" w:eastAsiaTheme="minorEastAsia" w:hAnsiTheme="minorHAnsi" w:cstheme="minorBidi"/>
              <w:noProof/>
              <w:sz w:val="22"/>
              <w:szCs w:val="22"/>
            </w:rPr>
          </w:pPr>
          <w:hyperlink w:anchor="_Toc118290671" w:history="1">
            <w:r w:rsidR="00423A9E" w:rsidRPr="006A5390">
              <w:rPr>
                <w:rStyle w:val="Hipervnculo"/>
                <w:rFonts w:ascii="Century Gothic" w:hAnsi="Century Gothic"/>
                <w:noProof/>
              </w:rPr>
              <w:t>3.1 ENFOQUE</w:t>
            </w:r>
            <w:r w:rsidR="00423A9E">
              <w:rPr>
                <w:noProof/>
                <w:webHidden/>
              </w:rPr>
              <w:tab/>
            </w:r>
            <w:r w:rsidR="00423A9E">
              <w:rPr>
                <w:noProof/>
                <w:webHidden/>
              </w:rPr>
              <w:fldChar w:fldCharType="begin"/>
            </w:r>
            <w:r w:rsidR="00423A9E">
              <w:rPr>
                <w:noProof/>
                <w:webHidden/>
              </w:rPr>
              <w:instrText xml:space="preserve"> PAGEREF _Toc118290671 \h </w:instrText>
            </w:r>
            <w:r w:rsidR="00423A9E">
              <w:rPr>
                <w:noProof/>
                <w:webHidden/>
              </w:rPr>
            </w:r>
            <w:r w:rsidR="00423A9E">
              <w:rPr>
                <w:noProof/>
                <w:webHidden/>
              </w:rPr>
              <w:fldChar w:fldCharType="separate"/>
            </w:r>
            <w:r w:rsidR="00423A9E">
              <w:rPr>
                <w:noProof/>
                <w:webHidden/>
              </w:rPr>
              <w:t>5</w:t>
            </w:r>
            <w:r w:rsidR="00423A9E">
              <w:rPr>
                <w:noProof/>
                <w:webHidden/>
              </w:rPr>
              <w:fldChar w:fldCharType="end"/>
            </w:r>
          </w:hyperlink>
        </w:p>
        <w:p w14:paraId="084C0CE1" w14:textId="6D20BEDD" w:rsidR="00423A9E" w:rsidRDefault="00495E37">
          <w:pPr>
            <w:pStyle w:val="TDC2"/>
            <w:tabs>
              <w:tab w:val="right" w:leader="dot" w:pos="8494"/>
            </w:tabs>
            <w:rPr>
              <w:rFonts w:asciiTheme="minorHAnsi" w:eastAsiaTheme="minorEastAsia" w:hAnsiTheme="minorHAnsi" w:cstheme="minorBidi"/>
              <w:noProof/>
              <w:sz w:val="22"/>
              <w:szCs w:val="22"/>
            </w:rPr>
          </w:pPr>
          <w:hyperlink w:anchor="_Toc118290672" w:history="1">
            <w:r w:rsidR="00423A9E" w:rsidRPr="006A5390">
              <w:rPr>
                <w:rStyle w:val="Hipervnculo"/>
                <w:rFonts w:ascii="Century Gothic" w:hAnsi="Century Gothic"/>
                <w:noProof/>
              </w:rPr>
              <w:t>3.2 ALCANCE Y CONTENIDO</w:t>
            </w:r>
            <w:r w:rsidR="00423A9E">
              <w:rPr>
                <w:noProof/>
                <w:webHidden/>
              </w:rPr>
              <w:tab/>
            </w:r>
            <w:r w:rsidR="00423A9E">
              <w:rPr>
                <w:noProof/>
                <w:webHidden/>
              </w:rPr>
              <w:fldChar w:fldCharType="begin"/>
            </w:r>
            <w:r w:rsidR="00423A9E">
              <w:rPr>
                <w:noProof/>
                <w:webHidden/>
              </w:rPr>
              <w:instrText xml:space="preserve"> PAGEREF _Toc118290672 \h </w:instrText>
            </w:r>
            <w:r w:rsidR="00423A9E">
              <w:rPr>
                <w:noProof/>
                <w:webHidden/>
              </w:rPr>
            </w:r>
            <w:r w:rsidR="00423A9E">
              <w:rPr>
                <w:noProof/>
                <w:webHidden/>
              </w:rPr>
              <w:fldChar w:fldCharType="separate"/>
            </w:r>
            <w:r w:rsidR="00423A9E">
              <w:rPr>
                <w:noProof/>
                <w:webHidden/>
              </w:rPr>
              <w:t>5</w:t>
            </w:r>
            <w:r w:rsidR="00423A9E">
              <w:rPr>
                <w:noProof/>
                <w:webHidden/>
              </w:rPr>
              <w:fldChar w:fldCharType="end"/>
            </w:r>
          </w:hyperlink>
        </w:p>
        <w:p w14:paraId="6896CD0E" w14:textId="57F92691" w:rsidR="00423A9E" w:rsidRDefault="00495E37">
          <w:pPr>
            <w:pStyle w:val="TDC3"/>
            <w:tabs>
              <w:tab w:val="right" w:leader="dot" w:pos="8494"/>
            </w:tabs>
            <w:rPr>
              <w:rFonts w:asciiTheme="minorHAnsi" w:eastAsiaTheme="minorEastAsia" w:hAnsiTheme="minorHAnsi" w:cstheme="minorBidi"/>
              <w:noProof/>
              <w:sz w:val="22"/>
              <w:szCs w:val="22"/>
            </w:rPr>
          </w:pPr>
          <w:hyperlink w:anchor="_Toc118290673" w:history="1">
            <w:r w:rsidR="00423A9E" w:rsidRPr="006A5390">
              <w:rPr>
                <w:rStyle w:val="Hipervnculo"/>
                <w:rFonts w:ascii="Century Gothic" w:hAnsi="Century Gothic"/>
                <w:noProof/>
              </w:rPr>
              <w:t>3.2.1 AUDITORÍA ENERGÉTICA</w:t>
            </w:r>
            <w:r w:rsidR="00423A9E">
              <w:rPr>
                <w:noProof/>
                <w:webHidden/>
              </w:rPr>
              <w:tab/>
            </w:r>
            <w:r w:rsidR="00423A9E">
              <w:rPr>
                <w:noProof/>
                <w:webHidden/>
              </w:rPr>
              <w:fldChar w:fldCharType="begin"/>
            </w:r>
            <w:r w:rsidR="00423A9E">
              <w:rPr>
                <w:noProof/>
                <w:webHidden/>
              </w:rPr>
              <w:instrText xml:space="preserve"> PAGEREF _Toc118290673 \h </w:instrText>
            </w:r>
            <w:r w:rsidR="00423A9E">
              <w:rPr>
                <w:noProof/>
                <w:webHidden/>
              </w:rPr>
            </w:r>
            <w:r w:rsidR="00423A9E">
              <w:rPr>
                <w:noProof/>
                <w:webHidden/>
              </w:rPr>
              <w:fldChar w:fldCharType="separate"/>
            </w:r>
            <w:r w:rsidR="00423A9E">
              <w:rPr>
                <w:noProof/>
                <w:webHidden/>
              </w:rPr>
              <w:t>5</w:t>
            </w:r>
            <w:r w:rsidR="00423A9E">
              <w:rPr>
                <w:noProof/>
                <w:webHidden/>
              </w:rPr>
              <w:fldChar w:fldCharType="end"/>
            </w:r>
          </w:hyperlink>
        </w:p>
        <w:p w14:paraId="7C459090" w14:textId="4786AC2A" w:rsidR="00423A9E" w:rsidRDefault="00495E37">
          <w:pPr>
            <w:pStyle w:val="TDC3"/>
            <w:tabs>
              <w:tab w:val="right" w:leader="dot" w:pos="8494"/>
            </w:tabs>
            <w:rPr>
              <w:rFonts w:asciiTheme="minorHAnsi" w:eastAsiaTheme="minorEastAsia" w:hAnsiTheme="minorHAnsi" w:cstheme="minorBidi"/>
              <w:noProof/>
              <w:sz w:val="22"/>
              <w:szCs w:val="22"/>
            </w:rPr>
          </w:pPr>
          <w:hyperlink w:anchor="_Toc118290674" w:history="1">
            <w:r w:rsidR="00423A9E" w:rsidRPr="006A5390">
              <w:rPr>
                <w:rStyle w:val="Hipervnculo"/>
                <w:rFonts w:ascii="Century Gothic" w:hAnsi="Century Gothic"/>
                <w:noProof/>
              </w:rPr>
              <w:t>3.2.2 CERTIFICADOS DE EFICIENCIA ENERGÉTICA DE LOS EDIFICIOS MUNICIPALES</w:t>
            </w:r>
            <w:r w:rsidR="00423A9E">
              <w:rPr>
                <w:noProof/>
                <w:webHidden/>
              </w:rPr>
              <w:tab/>
            </w:r>
            <w:r w:rsidR="00423A9E">
              <w:rPr>
                <w:noProof/>
                <w:webHidden/>
              </w:rPr>
              <w:fldChar w:fldCharType="begin"/>
            </w:r>
            <w:r w:rsidR="00423A9E">
              <w:rPr>
                <w:noProof/>
                <w:webHidden/>
              </w:rPr>
              <w:instrText xml:space="preserve"> PAGEREF _Toc118290674 \h </w:instrText>
            </w:r>
            <w:r w:rsidR="00423A9E">
              <w:rPr>
                <w:noProof/>
                <w:webHidden/>
              </w:rPr>
            </w:r>
            <w:r w:rsidR="00423A9E">
              <w:rPr>
                <w:noProof/>
                <w:webHidden/>
              </w:rPr>
              <w:fldChar w:fldCharType="separate"/>
            </w:r>
            <w:r w:rsidR="00423A9E">
              <w:rPr>
                <w:noProof/>
                <w:webHidden/>
              </w:rPr>
              <w:t>9</w:t>
            </w:r>
            <w:r w:rsidR="00423A9E">
              <w:rPr>
                <w:noProof/>
                <w:webHidden/>
              </w:rPr>
              <w:fldChar w:fldCharType="end"/>
            </w:r>
          </w:hyperlink>
        </w:p>
        <w:p w14:paraId="13C7D588" w14:textId="2BC75D7F" w:rsidR="00423A9E" w:rsidRDefault="00495E37">
          <w:pPr>
            <w:pStyle w:val="TDC3"/>
            <w:tabs>
              <w:tab w:val="right" w:leader="dot" w:pos="8494"/>
            </w:tabs>
            <w:rPr>
              <w:rFonts w:asciiTheme="minorHAnsi" w:eastAsiaTheme="minorEastAsia" w:hAnsiTheme="minorHAnsi" w:cstheme="minorBidi"/>
              <w:noProof/>
              <w:sz w:val="22"/>
              <w:szCs w:val="22"/>
            </w:rPr>
          </w:pPr>
          <w:hyperlink w:anchor="_Toc118290675" w:history="1">
            <w:r w:rsidR="00423A9E" w:rsidRPr="006A5390">
              <w:rPr>
                <w:rStyle w:val="Hipervnculo"/>
                <w:rFonts w:ascii="Century Gothic" w:hAnsi="Century Gothic"/>
                <w:noProof/>
              </w:rPr>
              <w:t>3.2.3 PLAN LOCAL DE CLIMA Y ENERGÍA DEL AYUNTAMIENTO DE LEGUTIO</w:t>
            </w:r>
            <w:r w:rsidR="00423A9E">
              <w:rPr>
                <w:noProof/>
                <w:webHidden/>
              </w:rPr>
              <w:tab/>
            </w:r>
            <w:r w:rsidR="00423A9E">
              <w:rPr>
                <w:noProof/>
                <w:webHidden/>
              </w:rPr>
              <w:fldChar w:fldCharType="begin"/>
            </w:r>
            <w:r w:rsidR="00423A9E">
              <w:rPr>
                <w:noProof/>
                <w:webHidden/>
              </w:rPr>
              <w:instrText xml:space="preserve"> PAGEREF _Toc118290675 \h </w:instrText>
            </w:r>
            <w:r w:rsidR="00423A9E">
              <w:rPr>
                <w:noProof/>
                <w:webHidden/>
              </w:rPr>
            </w:r>
            <w:r w:rsidR="00423A9E">
              <w:rPr>
                <w:noProof/>
                <w:webHidden/>
              </w:rPr>
              <w:fldChar w:fldCharType="separate"/>
            </w:r>
            <w:r w:rsidR="00423A9E">
              <w:rPr>
                <w:noProof/>
                <w:webHidden/>
              </w:rPr>
              <w:t>9</w:t>
            </w:r>
            <w:r w:rsidR="00423A9E">
              <w:rPr>
                <w:noProof/>
                <w:webHidden/>
              </w:rPr>
              <w:fldChar w:fldCharType="end"/>
            </w:r>
          </w:hyperlink>
        </w:p>
        <w:p w14:paraId="74578790" w14:textId="466D145C" w:rsidR="00423A9E" w:rsidRDefault="00495E37">
          <w:pPr>
            <w:pStyle w:val="TDC1"/>
            <w:tabs>
              <w:tab w:val="right" w:leader="dot" w:pos="8494"/>
            </w:tabs>
            <w:rPr>
              <w:rFonts w:asciiTheme="minorHAnsi" w:eastAsiaTheme="minorEastAsia" w:hAnsiTheme="minorHAnsi" w:cstheme="minorBidi"/>
              <w:noProof/>
              <w:sz w:val="22"/>
              <w:szCs w:val="22"/>
            </w:rPr>
          </w:pPr>
          <w:hyperlink w:anchor="_Toc118290676" w:history="1">
            <w:r w:rsidR="00423A9E" w:rsidRPr="006A5390">
              <w:rPr>
                <w:rStyle w:val="Hipervnculo"/>
                <w:rFonts w:ascii="Century Gothic" w:hAnsi="Century Gothic"/>
                <w:b/>
                <w:noProof/>
              </w:rPr>
              <w:t>4. CONDICIONES AMBIENTALES DE LA EJECUCIÓN DEL CONTRATO</w:t>
            </w:r>
            <w:r w:rsidR="00423A9E">
              <w:rPr>
                <w:noProof/>
                <w:webHidden/>
              </w:rPr>
              <w:tab/>
            </w:r>
            <w:r w:rsidR="00423A9E">
              <w:rPr>
                <w:noProof/>
                <w:webHidden/>
              </w:rPr>
              <w:fldChar w:fldCharType="begin"/>
            </w:r>
            <w:r w:rsidR="00423A9E">
              <w:rPr>
                <w:noProof/>
                <w:webHidden/>
              </w:rPr>
              <w:instrText xml:space="preserve"> PAGEREF _Toc118290676 \h </w:instrText>
            </w:r>
            <w:r w:rsidR="00423A9E">
              <w:rPr>
                <w:noProof/>
                <w:webHidden/>
              </w:rPr>
            </w:r>
            <w:r w:rsidR="00423A9E">
              <w:rPr>
                <w:noProof/>
                <w:webHidden/>
              </w:rPr>
              <w:fldChar w:fldCharType="separate"/>
            </w:r>
            <w:r w:rsidR="00423A9E">
              <w:rPr>
                <w:noProof/>
                <w:webHidden/>
              </w:rPr>
              <w:t>14</w:t>
            </w:r>
            <w:r w:rsidR="00423A9E">
              <w:rPr>
                <w:noProof/>
                <w:webHidden/>
              </w:rPr>
              <w:fldChar w:fldCharType="end"/>
            </w:r>
          </w:hyperlink>
        </w:p>
        <w:p w14:paraId="5CF89240" w14:textId="37CBAE64" w:rsidR="00423A9E" w:rsidRDefault="00495E37">
          <w:pPr>
            <w:pStyle w:val="TDC1"/>
            <w:tabs>
              <w:tab w:val="right" w:leader="dot" w:pos="8494"/>
            </w:tabs>
            <w:rPr>
              <w:rFonts w:asciiTheme="minorHAnsi" w:eastAsiaTheme="minorEastAsia" w:hAnsiTheme="minorHAnsi" w:cstheme="minorBidi"/>
              <w:noProof/>
              <w:sz w:val="22"/>
              <w:szCs w:val="22"/>
            </w:rPr>
          </w:pPr>
          <w:hyperlink w:anchor="_Toc118290677" w:history="1">
            <w:r w:rsidR="00423A9E" w:rsidRPr="006A5390">
              <w:rPr>
                <w:rStyle w:val="Hipervnculo"/>
                <w:rFonts w:ascii="Century Gothic" w:hAnsi="Century Gothic"/>
                <w:b/>
                <w:noProof/>
              </w:rPr>
              <w:t>5. OBLIGACIONES DE LA EMPRESA ADJUDICATARIA</w:t>
            </w:r>
            <w:r w:rsidR="00423A9E">
              <w:rPr>
                <w:noProof/>
                <w:webHidden/>
              </w:rPr>
              <w:tab/>
            </w:r>
            <w:r w:rsidR="00423A9E">
              <w:rPr>
                <w:noProof/>
                <w:webHidden/>
              </w:rPr>
              <w:fldChar w:fldCharType="begin"/>
            </w:r>
            <w:r w:rsidR="00423A9E">
              <w:rPr>
                <w:noProof/>
                <w:webHidden/>
              </w:rPr>
              <w:instrText xml:space="preserve"> PAGEREF _Toc118290677 \h </w:instrText>
            </w:r>
            <w:r w:rsidR="00423A9E">
              <w:rPr>
                <w:noProof/>
                <w:webHidden/>
              </w:rPr>
            </w:r>
            <w:r w:rsidR="00423A9E">
              <w:rPr>
                <w:noProof/>
                <w:webHidden/>
              </w:rPr>
              <w:fldChar w:fldCharType="separate"/>
            </w:r>
            <w:r w:rsidR="00423A9E">
              <w:rPr>
                <w:noProof/>
                <w:webHidden/>
              </w:rPr>
              <w:t>15</w:t>
            </w:r>
            <w:r w:rsidR="00423A9E">
              <w:rPr>
                <w:noProof/>
                <w:webHidden/>
              </w:rPr>
              <w:fldChar w:fldCharType="end"/>
            </w:r>
          </w:hyperlink>
        </w:p>
        <w:p w14:paraId="470F93AA" w14:textId="1A2ABFE6" w:rsidR="00423A9E" w:rsidRDefault="00495E37">
          <w:pPr>
            <w:pStyle w:val="TDC1"/>
            <w:tabs>
              <w:tab w:val="right" w:leader="dot" w:pos="8494"/>
            </w:tabs>
            <w:rPr>
              <w:rFonts w:asciiTheme="minorHAnsi" w:eastAsiaTheme="minorEastAsia" w:hAnsiTheme="minorHAnsi" w:cstheme="minorBidi"/>
              <w:noProof/>
              <w:sz w:val="22"/>
              <w:szCs w:val="22"/>
            </w:rPr>
          </w:pPr>
          <w:hyperlink w:anchor="_Toc118290678" w:history="1">
            <w:r w:rsidR="00423A9E" w:rsidRPr="006A5390">
              <w:rPr>
                <w:rStyle w:val="Hipervnculo"/>
                <w:rFonts w:ascii="Century Gothic" w:hAnsi="Century Gothic"/>
                <w:b/>
                <w:noProof/>
              </w:rPr>
              <w:t>6. PLAZO DE EJECUCIÓN</w:t>
            </w:r>
            <w:r w:rsidR="00423A9E">
              <w:rPr>
                <w:noProof/>
                <w:webHidden/>
              </w:rPr>
              <w:tab/>
            </w:r>
            <w:r w:rsidR="00423A9E">
              <w:rPr>
                <w:noProof/>
                <w:webHidden/>
              </w:rPr>
              <w:fldChar w:fldCharType="begin"/>
            </w:r>
            <w:r w:rsidR="00423A9E">
              <w:rPr>
                <w:noProof/>
                <w:webHidden/>
              </w:rPr>
              <w:instrText xml:space="preserve"> PAGEREF _Toc118290678 \h </w:instrText>
            </w:r>
            <w:r w:rsidR="00423A9E">
              <w:rPr>
                <w:noProof/>
                <w:webHidden/>
              </w:rPr>
            </w:r>
            <w:r w:rsidR="00423A9E">
              <w:rPr>
                <w:noProof/>
                <w:webHidden/>
              </w:rPr>
              <w:fldChar w:fldCharType="separate"/>
            </w:r>
            <w:r w:rsidR="00423A9E">
              <w:rPr>
                <w:noProof/>
                <w:webHidden/>
              </w:rPr>
              <w:t>16</w:t>
            </w:r>
            <w:r w:rsidR="00423A9E">
              <w:rPr>
                <w:noProof/>
                <w:webHidden/>
              </w:rPr>
              <w:fldChar w:fldCharType="end"/>
            </w:r>
          </w:hyperlink>
        </w:p>
        <w:p w14:paraId="3BA0C89C" w14:textId="565587E4" w:rsidR="00423A9E" w:rsidRDefault="00495E37">
          <w:pPr>
            <w:pStyle w:val="TDC1"/>
            <w:tabs>
              <w:tab w:val="right" w:leader="dot" w:pos="8494"/>
            </w:tabs>
            <w:rPr>
              <w:rFonts w:asciiTheme="minorHAnsi" w:eastAsiaTheme="minorEastAsia" w:hAnsiTheme="minorHAnsi" w:cstheme="minorBidi"/>
              <w:noProof/>
              <w:sz w:val="22"/>
              <w:szCs w:val="22"/>
            </w:rPr>
          </w:pPr>
          <w:hyperlink w:anchor="_Toc118290679" w:history="1">
            <w:r w:rsidR="00423A9E" w:rsidRPr="006A5390">
              <w:rPr>
                <w:rStyle w:val="Hipervnculo"/>
                <w:rFonts w:ascii="Century Gothic" w:hAnsi="Century Gothic"/>
                <w:b/>
                <w:noProof/>
              </w:rPr>
              <w:t>7. CONDICIONES DE EJECUCIÓN EN RELACIÓN A LAS LENGUAS OFICIALES</w:t>
            </w:r>
            <w:r w:rsidR="00423A9E">
              <w:rPr>
                <w:noProof/>
                <w:webHidden/>
              </w:rPr>
              <w:tab/>
            </w:r>
            <w:r w:rsidR="00423A9E">
              <w:rPr>
                <w:noProof/>
                <w:webHidden/>
              </w:rPr>
              <w:fldChar w:fldCharType="begin"/>
            </w:r>
            <w:r w:rsidR="00423A9E">
              <w:rPr>
                <w:noProof/>
                <w:webHidden/>
              </w:rPr>
              <w:instrText xml:space="preserve"> PAGEREF _Toc118290679 \h </w:instrText>
            </w:r>
            <w:r w:rsidR="00423A9E">
              <w:rPr>
                <w:noProof/>
                <w:webHidden/>
              </w:rPr>
            </w:r>
            <w:r w:rsidR="00423A9E">
              <w:rPr>
                <w:noProof/>
                <w:webHidden/>
              </w:rPr>
              <w:fldChar w:fldCharType="separate"/>
            </w:r>
            <w:r w:rsidR="00423A9E">
              <w:rPr>
                <w:noProof/>
                <w:webHidden/>
              </w:rPr>
              <w:t>16</w:t>
            </w:r>
            <w:r w:rsidR="00423A9E">
              <w:rPr>
                <w:noProof/>
                <w:webHidden/>
              </w:rPr>
              <w:fldChar w:fldCharType="end"/>
            </w:r>
          </w:hyperlink>
        </w:p>
        <w:p w14:paraId="223CD912" w14:textId="157A81D7" w:rsidR="00423A9E" w:rsidRDefault="00495E37">
          <w:pPr>
            <w:pStyle w:val="TDC1"/>
            <w:tabs>
              <w:tab w:val="right" w:leader="dot" w:pos="8494"/>
            </w:tabs>
            <w:rPr>
              <w:rFonts w:asciiTheme="minorHAnsi" w:eastAsiaTheme="minorEastAsia" w:hAnsiTheme="minorHAnsi" w:cstheme="minorBidi"/>
              <w:noProof/>
              <w:sz w:val="22"/>
              <w:szCs w:val="22"/>
            </w:rPr>
          </w:pPr>
          <w:hyperlink w:anchor="_Toc118290680" w:history="1">
            <w:r w:rsidR="00423A9E" w:rsidRPr="006A5390">
              <w:rPr>
                <w:rStyle w:val="Hipervnculo"/>
                <w:rFonts w:ascii="Century Gothic" w:hAnsi="Century Gothic"/>
                <w:b/>
                <w:noProof/>
              </w:rPr>
              <w:t>8. CRITERIOS DE IGUALDAD DE GÉNERO</w:t>
            </w:r>
            <w:r w:rsidR="00423A9E">
              <w:rPr>
                <w:noProof/>
                <w:webHidden/>
              </w:rPr>
              <w:tab/>
            </w:r>
            <w:r w:rsidR="00423A9E">
              <w:rPr>
                <w:noProof/>
                <w:webHidden/>
              </w:rPr>
              <w:fldChar w:fldCharType="begin"/>
            </w:r>
            <w:r w:rsidR="00423A9E">
              <w:rPr>
                <w:noProof/>
                <w:webHidden/>
              </w:rPr>
              <w:instrText xml:space="preserve"> PAGEREF _Toc118290680 \h </w:instrText>
            </w:r>
            <w:r w:rsidR="00423A9E">
              <w:rPr>
                <w:noProof/>
                <w:webHidden/>
              </w:rPr>
            </w:r>
            <w:r w:rsidR="00423A9E">
              <w:rPr>
                <w:noProof/>
                <w:webHidden/>
              </w:rPr>
              <w:fldChar w:fldCharType="separate"/>
            </w:r>
            <w:r w:rsidR="00423A9E">
              <w:rPr>
                <w:noProof/>
                <w:webHidden/>
              </w:rPr>
              <w:t>17</w:t>
            </w:r>
            <w:r w:rsidR="00423A9E">
              <w:rPr>
                <w:noProof/>
                <w:webHidden/>
              </w:rPr>
              <w:fldChar w:fldCharType="end"/>
            </w:r>
          </w:hyperlink>
        </w:p>
        <w:p w14:paraId="69924D5F" w14:textId="6DCF246C" w:rsidR="005C4494" w:rsidRDefault="005C4494">
          <w:r w:rsidRPr="00524327">
            <w:rPr>
              <w:rFonts w:ascii="Century Gothic" w:hAnsi="Century Gothic"/>
              <w:b/>
              <w:bCs/>
            </w:rPr>
            <w:fldChar w:fldCharType="end"/>
          </w:r>
        </w:p>
      </w:sdtContent>
    </w:sdt>
    <w:p w14:paraId="4230756B" w14:textId="77777777" w:rsidR="009371E5" w:rsidRPr="006D038C" w:rsidRDefault="009371E5" w:rsidP="006D038C">
      <w:pPr>
        <w:spacing w:before="120" w:line="360" w:lineRule="auto"/>
        <w:jc w:val="both"/>
        <w:rPr>
          <w:rFonts w:ascii="Century Gothic" w:hAnsi="Century Gothic"/>
          <w:b/>
          <w:caps/>
          <w:sz w:val="20"/>
          <w:szCs w:val="20"/>
          <w:u w:val="single"/>
        </w:rPr>
      </w:pPr>
    </w:p>
    <w:p w14:paraId="15539F8B" w14:textId="77777777" w:rsidR="00ED5235" w:rsidRPr="006D038C" w:rsidRDefault="00ED5235" w:rsidP="006D038C">
      <w:pPr>
        <w:spacing w:before="120" w:line="360" w:lineRule="auto"/>
        <w:jc w:val="both"/>
        <w:rPr>
          <w:rFonts w:ascii="Century Gothic" w:hAnsi="Century Gothic"/>
          <w:b/>
          <w:caps/>
          <w:sz w:val="20"/>
          <w:szCs w:val="20"/>
          <w:u w:val="single"/>
        </w:rPr>
      </w:pPr>
    </w:p>
    <w:p w14:paraId="0E7A6CDB" w14:textId="77777777" w:rsidR="00ED5235" w:rsidRPr="006D038C" w:rsidRDefault="00ED5235" w:rsidP="006D038C">
      <w:pPr>
        <w:spacing w:before="120" w:line="360" w:lineRule="auto"/>
        <w:jc w:val="both"/>
        <w:rPr>
          <w:rFonts w:ascii="Century Gothic" w:hAnsi="Century Gothic"/>
          <w:b/>
          <w:caps/>
          <w:sz w:val="20"/>
          <w:szCs w:val="20"/>
          <w:u w:val="single"/>
        </w:rPr>
      </w:pPr>
    </w:p>
    <w:p w14:paraId="0E309EF7" w14:textId="77777777" w:rsidR="00ED5235" w:rsidRPr="006D038C" w:rsidRDefault="00ED5235" w:rsidP="006D038C">
      <w:pPr>
        <w:spacing w:before="120" w:line="360" w:lineRule="auto"/>
        <w:jc w:val="both"/>
        <w:rPr>
          <w:rFonts w:ascii="Century Gothic" w:hAnsi="Century Gothic"/>
          <w:b/>
          <w:caps/>
          <w:sz w:val="20"/>
          <w:szCs w:val="20"/>
          <w:u w:val="single"/>
        </w:rPr>
      </w:pPr>
    </w:p>
    <w:p w14:paraId="48C144AF" w14:textId="77777777" w:rsidR="00ED5235" w:rsidRPr="006D038C" w:rsidRDefault="00ED5235" w:rsidP="006D038C">
      <w:pPr>
        <w:spacing w:before="120" w:line="360" w:lineRule="auto"/>
        <w:jc w:val="both"/>
        <w:rPr>
          <w:rFonts w:ascii="Century Gothic" w:hAnsi="Century Gothic"/>
          <w:b/>
          <w:caps/>
          <w:sz w:val="20"/>
          <w:szCs w:val="20"/>
          <w:u w:val="single"/>
        </w:rPr>
      </w:pPr>
    </w:p>
    <w:p w14:paraId="4FF080BB" w14:textId="77777777" w:rsidR="00ED5235" w:rsidRPr="006D038C" w:rsidRDefault="00ED5235" w:rsidP="006D038C">
      <w:pPr>
        <w:spacing w:before="120" w:line="360" w:lineRule="auto"/>
        <w:jc w:val="both"/>
        <w:rPr>
          <w:rFonts w:ascii="Century Gothic" w:hAnsi="Century Gothic"/>
          <w:b/>
          <w:caps/>
          <w:sz w:val="20"/>
          <w:szCs w:val="20"/>
          <w:u w:val="single"/>
        </w:rPr>
      </w:pPr>
    </w:p>
    <w:p w14:paraId="0187A435" w14:textId="77777777" w:rsidR="00ED5235" w:rsidRPr="006D038C" w:rsidRDefault="00ED5235" w:rsidP="006D038C">
      <w:pPr>
        <w:spacing w:before="120" w:line="360" w:lineRule="auto"/>
        <w:jc w:val="both"/>
        <w:rPr>
          <w:rFonts w:ascii="Century Gothic" w:hAnsi="Century Gothic"/>
          <w:b/>
          <w:caps/>
          <w:sz w:val="20"/>
          <w:szCs w:val="20"/>
          <w:u w:val="single"/>
        </w:rPr>
      </w:pPr>
    </w:p>
    <w:p w14:paraId="2D1BE4D7" w14:textId="077DD601" w:rsidR="007E653E" w:rsidRPr="001344D9" w:rsidRDefault="007E653E" w:rsidP="001344D9">
      <w:pPr>
        <w:pStyle w:val="Ttulo1"/>
        <w:rPr>
          <w:rFonts w:ascii="Century Gothic" w:hAnsi="Century Gothic"/>
          <w:b/>
          <w:color w:val="auto"/>
          <w:sz w:val="22"/>
          <w:szCs w:val="22"/>
        </w:rPr>
      </w:pPr>
      <w:bookmarkStart w:id="0" w:name="_Toc118290668"/>
      <w:r w:rsidRPr="001344D9">
        <w:rPr>
          <w:rFonts w:ascii="Century Gothic" w:hAnsi="Century Gothic"/>
          <w:b/>
          <w:color w:val="auto"/>
          <w:sz w:val="22"/>
          <w:szCs w:val="22"/>
        </w:rPr>
        <w:lastRenderedPageBreak/>
        <w:t>1. INTRODUCCIÓN</w:t>
      </w:r>
      <w:bookmarkEnd w:id="0"/>
    </w:p>
    <w:p w14:paraId="197E2A60" w14:textId="38C947FA" w:rsidR="00FB2627" w:rsidRPr="006D038C" w:rsidRDefault="00FB2627" w:rsidP="006D038C">
      <w:pPr>
        <w:spacing w:line="360" w:lineRule="auto"/>
        <w:jc w:val="both"/>
        <w:rPr>
          <w:rFonts w:ascii="Century Gothic" w:hAnsi="Century Gothic"/>
          <w:sz w:val="20"/>
          <w:szCs w:val="20"/>
        </w:rPr>
      </w:pPr>
    </w:p>
    <w:p w14:paraId="1CDB0795" w14:textId="6881C8AE" w:rsidR="00F965D4" w:rsidRPr="006D038C" w:rsidRDefault="00F965D4" w:rsidP="006D038C">
      <w:pPr>
        <w:spacing w:line="360" w:lineRule="auto"/>
        <w:jc w:val="both"/>
        <w:rPr>
          <w:rFonts w:ascii="Century Gothic" w:hAnsi="Century Gothic"/>
          <w:sz w:val="20"/>
          <w:szCs w:val="20"/>
        </w:rPr>
      </w:pPr>
      <w:r w:rsidRPr="006D038C">
        <w:rPr>
          <w:rFonts w:ascii="Century Gothic" w:hAnsi="Century Gothic"/>
          <w:sz w:val="20"/>
          <w:szCs w:val="20"/>
        </w:rPr>
        <w:t xml:space="preserve"> La Ley 4/2019, de 21 de febrero, de Sostenibilidad Energética de la Comunidad Autónoma Vasca establece el marco jurídico básico de la sostenibilidad energética, tanto en el ámbito de las administraciones públicas vascas como en el del sector privado, partiendo de la lógica premisa de que debe ser el conjunto de la sociedad quien colabore en la consecución de sus objetivos.</w:t>
      </w:r>
    </w:p>
    <w:p w14:paraId="55FCA8D4" w14:textId="58E5C340" w:rsidR="00DF6F2A" w:rsidRPr="006D038C" w:rsidRDefault="00DF6F2A" w:rsidP="006D038C">
      <w:pPr>
        <w:spacing w:line="360" w:lineRule="auto"/>
        <w:jc w:val="both"/>
        <w:rPr>
          <w:rFonts w:ascii="Century Gothic" w:hAnsi="Century Gothic"/>
          <w:sz w:val="20"/>
          <w:szCs w:val="20"/>
        </w:rPr>
      </w:pPr>
    </w:p>
    <w:p w14:paraId="01806038" w14:textId="5F0BACC5" w:rsidR="00DF6F2A" w:rsidRPr="006D038C" w:rsidRDefault="00DF6F2A" w:rsidP="006D038C">
      <w:pPr>
        <w:spacing w:line="360" w:lineRule="auto"/>
        <w:jc w:val="both"/>
        <w:rPr>
          <w:rFonts w:ascii="Century Gothic" w:hAnsi="Century Gothic"/>
          <w:sz w:val="20"/>
          <w:szCs w:val="20"/>
        </w:rPr>
      </w:pPr>
      <w:r w:rsidRPr="006D038C">
        <w:rPr>
          <w:rFonts w:ascii="Century Gothic" w:hAnsi="Century Gothic"/>
          <w:sz w:val="20"/>
          <w:szCs w:val="20"/>
        </w:rPr>
        <w:t>A tales efectos, articula deberes y obligaciones que quienes se vean afectados por su ámbito de aplicación deben cumplir, y que se orientan fundamentalmente al impulso de medidas de ahorro y eficiencia energética, y de promoción e implantación de energías renovables.</w:t>
      </w:r>
    </w:p>
    <w:p w14:paraId="5DEFF8DA" w14:textId="5A2AA3A0" w:rsidR="00DF6F2A" w:rsidRPr="006D038C" w:rsidRDefault="00DF6F2A" w:rsidP="006D038C">
      <w:pPr>
        <w:spacing w:line="360" w:lineRule="auto"/>
        <w:jc w:val="both"/>
        <w:rPr>
          <w:rFonts w:ascii="Century Gothic" w:hAnsi="Century Gothic"/>
          <w:sz w:val="20"/>
          <w:szCs w:val="20"/>
        </w:rPr>
      </w:pPr>
    </w:p>
    <w:p w14:paraId="30D42890" w14:textId="6724107F" w:rsidR="00DF6F2A" w:rsidRPr="006D038C" w:rsidRDefault="00DF6F2A" w:rsidP="006D038C">
      <w:pPr>
        <w:spacing w:line="360" w:lineRule="auto"/>
        <w:jc w:val="both"/>
        <w:rPr>
          <w:rFonts w:ascii="Century Gothic" w:hAnsi="Century Gothic"/>
          <w:sz w:val="20"/>
          <w:szCs w:val="20"/>
        </w:rPr>
      </w:pPr>
      <w:r w:rsidRPr="006D038C">
        <w:rPr>
          <w:rFonts w:ascii="Century Gothic" w:hAnsi="Century Gothic"/>
          <w:sz w:val="20"/>
          <w:szCs w:val="20"/>
        </w:rPr>
        <w:t>En este sentido, en cuanto al contexto energético global se refiere, a pesar de las sucesivas crisis energéticas, que comenzaron en los años 70 del siglo pasado, el petróleo sigue constituyendo la principal fuente de energía en el mundo, estando presente, además de sus usos energéticos, en una innumerable cantidad de productos de uso y consumo. Obviamente, el petróleo no es, hoy día, la única fuente energética, al convivir con otras como el carbón, el gas natural, la energía nuclear o las energías renovables, como son la energía eólica, la hidráulica, la solar, la biomasa, la geotermia, etc., cuyo papel en el suministro global de energía es creciente.</w:t>
      </w:r>
    </w:p>
    <w:p w14:paraId="6D99B7D1" w14:textId="3D2DCB68" w:rsidR="00DF6F2A" w:rsidRPr="006D038C" w:rsidRDefault="00DF6F2A" w:rsidP="006D038C">
      <w:pPr>
        <w:spacing w:line="360" w:lineRule="auto"/>
        <w:jc w:val="both"/>
        <w:rPr>
          <w:rFonts w:ascii="Century Gothic" w:hAnsi="Century Gothic"/>
          <w:sz w:val="20"/>
          <w:szCs w:val="20"/>
        </w:rPr>
      </w:pPr>
    </w:p>
    <w:p w14:paraId="20E11FA3" w14:textId="4D2F012A" w:rsidR="00DF6F2A" w:rsidRPr="006D038C" w:rsidRDefault="00DF6F2A" w:rsidP="006D038C">
      <w:pPr>
        <w:spacing w:line="360" w:lineRule="auto"/>
        <w:jc w:val="both"/>
        <w:rPr>
          <w:rFonts w:ascii="Century Gothic" w:hAnsi="Century Gothic"/>
          <w:sz w:val="20"/>
          <w:szCs w:val="20"/>
        </w:rPr>
      </w:pPr>
      <w:r w:rsidRPr="006D038C">
        <w:rPr>
          <w:rFonts w:ascii="Century Gothic" w:hAnsi="Century Gothic"/>
          <w:sz w:val="20"/>
          <w:szCs w:val="20"/>
        </w:rPr>
        <w:t>En cualquier caso, el abastecimiento futuro de energía presenta retos importantes para nuestra sociedad. Por una parte, debemos ser conscientes de que, tanto a nivel global como a nivel local, nuestra matriz energética presenta una dependencia notable a los combustibles de origen fósil, representando valores superiores al 80% de nuestro consumo energético. Teniendo en cuenta que los combustibles fósiles son de naturaleza no renovable a escala humana, debemos utilizar estos recursos con la mayor eficiencia posible y tendiendo a disminuir su consumo.</w:t>
      </w:r>
    </w:p>
    <w:p w14:paraId="1F4C980E" w14:textId="587204DC" w:rsidR="00DF6F2A" w:rsidRPr="006D038C" w:rsidRDefault="00DF6F2A" w:rsidP="006D038C">
      <w:pPr>
        <w:spacing w:line="360" w:lineRule="auto"/>
        <w:jc w:val="both"/>
        <w:rPr>
          <w:rFonts w:ascii="Century Gothic" w:hAnsi="Century Gothic"/>
          <w:sz w:val="20"/>
          <w:szCs w:val="20"/>
        </w:rPr>
      </w:pPr>
    </w:p>
    <w:p w14:paraId="6816C7C0" w14:textId="77777777" w:rsidR="00C63FB6" w:rsidRDefault="009B2D03" w:rsidP="006D038C">
      <w:pPr>
        <w:spacing w:line="360" w:lineRule="auto"/>
        <w:jc w:val="both"/>
        <w:rPr>
          <w:rFonts w:ascii="Century Gothic" w:hAnsi="Century Gothic"/>
          <w:sz w:val="20"/>
          <w:szCs w:val="20"/>
        </w:rPr>
      </w:pPr>
      <w:r w:rsidRPr="006D038C">
        <w:rPr>
          <w:rFonts w:ascii="Century Gothic" w:hAnsi="Century Gothic"/>
          <w:sz w:val="20"/>
          <w:szCs w:val="20"/>
        </w:rPr>
        <w:t>Por otra parte, tenemos delante el imperioso e inaplazable reto de disminuir las emisiones de gases de efecto invernadero a la atmósfera, además de los contaminantes atmosféricos perjudicia</w:t>
      </w:r>
      <w:r w:rsidRPr="006D038C">
        <w:rPr>
          <w:rFonts w:ascii="Century Gothic" w:hAnsi="Century Gothic"/>
          <w:sz w:val="20"/>
          <w:szCs w:val="20"/>
        </w:rPr>
        <w:softHyphen/>
        <w:t xml:space="preserve">les para la salud. Nuestro modelo energético, basado en gran parte en la quema de combustibles fósiles, es responsable, en gran medida, de las emisiones de gases de efecto invernadero y, en consecuencia, del cambio climático. </w:t>
      </w:r>
    </w:p>
    <w:p w14:paraId="29315978" w14:textId="75BCD3D0" w:rsidR="00DF6F2A" w:rsidRPr="006D038C" w:rsidRDefault="009B2D03" w:rsidP="006D038C">
      <w:pPr>
        <w:spacing w:line="360" w:lineRule="auto"/>
        <w:jc w:val="both"/>
        <w:rPr>
          <w:rFonts w:ascii="Century Gothic" w:hAnsi="Century Gothic"/>
          <w:sz w:val="20"/>
          <w:szCs w:val="20"/>
        </w:rPr>
      </w:pPr>
      <w:r w:rsidRPr="006D038C">
        <w:rPr>
          <w:rFonts w:ascii="Century Gothic" w:hAnsi="Century Gothic"/>
          <w:sz w:val="20"/>
          <w:szCs w:val="20"/>
        </w:rPr>
        <w:lastRenderedPageBreak/>
        <w:t>Las previsibles consecuencias del cambio climático, que cuentan con un amplio consenso científico, hacen necesario adoptar medidas que reduzcan sig</w:t>
      </w:r>
      <w:r w:rsidRPr="006D038C">
        <w:rPr>
          <w:rFonts w:ascii="Century Gothic" w:hAnsi="Century Gothic"/>
          <w:sz w:val="20"/>
          <w:szCs w:val="20"/>
        </w:rPr>
        <w:softHyphen/>
        <w:t>nificativamente dichas emisiones, mediante una política energética que combine la necesaria reducción de emisiones con el abastecimiento de energía renovable y suficiente para las genera</w:t>
      </w:r>
      <w:r w:rsidRPr="006D038C">
        <w:rPr>
          <w:rFonts w:ascii="Century Gothic" w:hAnsi="Century Gothic"/>
          <w:sz w:val="20"/>
          <w:szCs w:val="20"/>
        </w:rPr>
        <w:softHyphen/>
        <w:t>ciones actuales y futuras.</w:t>
      </w:r>
    </w:p>
    <w:p w14:paraId="1F9A233E" w14:textId="7746BD8A" w:rsidR="00B1360F" w:rsidRPr="006D038C" w:rsidRDefault="00B1360F" w:rsidP="006D038C">
      <w:pPr>
        <w:spacing w:line="360" w:lineRule="auto"/>
        <w:jc w:val="both"/>
        <w:rPr>
          <w:rFonts w:ascii="Century Gothic" w:hAnsi="Century Gothic"/>
          <w:sz w:val="20"/>
          <w:szCs w:val="20"/>
        </w:rPr>
      </w:pPr>
    </w:p>
    <w:p w14:paraId="6FE243ED" w14:textId="0ED8EB05" w:rsidR="00B1360F" w:rsidRPr="006D038C" w:rsidRDefault="00B1360F" w:rsidP="006D038C">
      <w:pPr>
        <w:spacing w:line="360" w:lineRule="auto"/>
        <w:jc w:val="both"/>
        <w:rPr>
          <w:rFonts w:ascii="Century Gothic" w:hAnsi="Century Gothic"/>
          <w:sz w:val="20"/>
          <w:szCs w:val="20"/>
        </w:rPr>
      </w:pPr>
      <w:r w:rsidRPr="006D038C">
        <w:rPr>
          <w:rFonts w:ascii="Century Gothic" w:hAnsi="Century Gothic"/>
          <w:sz w:val="20"/>
          <w:szCs w:val="20"/>
        </w:rPr>
        <w:t>A nivel internacional, el Acuerdo de París, ratificado por el Estado español, tiene como objetivo una transición que culmine en un modelo de desarrollo bajo en carbono y resiliente al cambio climático. Entre los objetivos vinculantes de la Unión Europea para 2030, está la reducción de un  40% de emisiones de GEI respecto a 1990, una cuota del 32% de energías renovables respecto al total, y una mejora del 32,5% en la eficiencia energética.</w:t>
      </w:r>
    </w:p>
    <w:p w14:paraId="0978084F" w14:textId="77777777" w:rsidR="00F27C04" w:rsidRPr="006D038C" w:rsidRDefault="00F27C04" w:rsidP="006D038C">
      <w:pPr>
        <w:spacing w:line="360" w:lineRule="auto"/>
        <w:jc w:val="both"/>
        <w:rPr>
          <w:rFonts w:ascii="Century Gothic" w:hAnsi="Century Gothic"/>
          <w:sz w:val="20"/>
          <w:szCs w:val="20"/>
        </w:rPr>
      </w:pPr>
    </w:p>
    <w:p w14:paraId="050C01CC" w14:textId="39F70069" w:rsidR="00C23A6A" w:rsidRPr="006D038C" w:rsidRDefault="00F27C04" w:rsidP="006D038C">
      <w:pPr>
        <w:spacing w:line="360" w:lineRule="auto"/>
        <w:jc w:val="both"/>
        <w:rPr>
          <w:rFonts w:ascii="Century Gothic" w:hAnsi="Century Gothic"/>
          <w:sz w:val="20"/>
          <w:szCs w:val="20"/>
        </w:rPr>
      </w:pPr>
      <w:r w:rsidRPr="006D038C">
        <w:rPr>
          <w:rFonts w:ascii="Century Gothic" w:hAnsi="Century Gothic"/>
          <w:sz w:val="20"/>
          <w:szCs w:val="20"/>
        </w:rPr>
        <w:t>Por su parte, la Comunidad Autónoma del País Vasco ha tomado desde hace años distintas acciones en materia de energía. Ya en 1982 se creó el Ente Vasco de la Energía, mediante la Ley 9/1982, de 24 de noviembre, atribuyéndole la planificación, la coordinación y el control de las actividades actuales y futuras del sector público de la Comunidad Autónoma del País Vasco en el campo de la energía, de acuerdo con las directrices del Gobierno en el ámbito de las compe</w:t>
      </w:r>
      <w:r w:rsidRPr="006D038C">
        <w:rPr>
          <w:rFonts w:ascii="Century Gothic" w:hAnsi="Century Gothic"/>
          <w:sz w:val="20"/>
          <w:szCs w:val="20"/>
        </w:rPr>
        <w:softHyphen/>
        <w:t xml:space="preserve">tencias establecidas en el Estatuto de Autonomía. En este contexto, la Estrategia Energética de Euskadi 2030 (3E2030) establece, entre otros objetivos, la intensificación de las actuaciones en eficiencia energética en todos los sectores consumidores, con un ahorro de 1.250.000 </w:t>
      </w:r>
      <w:proofErr w:type="spellStart"/>
      <w:r w:rsidRPr="006D038C">
        <w:rPr>
          <w:rFonts w:ascii="Century Gothic" w:hAnsi="Century Gothic"/>
          <w:sz w:val="20"/>
          <w:szCs w:val="20"/>
        </w:rPr>
        <w:t>tep</w:t>
      </w:r>
      <w:proofErr w:type="spellEnd"/>
      <w:r w:rsidRPr="006D038C">
        <w:rPr>
          <w:rFonts w:ascii="Century Gothic" w:hAnsi="Century Gothic"/>
          <w:sz w:val="20"/>
          <w:szCs w:val="20"/>
        </w:rPr>
        <w:t xml:space="preserve"> en el año 2030, así como mejorar la intensidad energética final en un 33%. De esta manera, se pre</w:t>
      </w:r>
      <w:r w:rsidRPr="006D038C">
        <w:rPr>
          <w:rFonts w:ascii="Century Gothic" w:hAnsi="Century Gothic"/>
          <w:sz w:val="20"/>
          <w:szCs w:val="20"/>
        </w:rPr>
        <w:softHyphen/>
        <w:t xml:space="preserve">tende reducir el consumo final de petróleo en el año 2030 un 18% respecto a 2015, favoreciendo la desvinculación del sector transporte. También se persigue que las energías alternativas en el transporte por carretera sean el 25%, y que el aprovechamiento de estas energías alcance en el año 2030 los 966.000 </w:t>
      </w:r>
      <w:proofErr w:type="spellStart"/>
      <w:r w:rsidRPr="006D038C">
        <w:rPr>
          <w:rFonts w:ascii="Century Gothic" w:hAnsi="Century Gothic"/>
          <w:sz w:val="20"/>
          <w:szCs w:val="20"/>
        </w:rPr>
        <w:t>tep</w:t>
      </w:r>
      <w:proofErr w:type="spellEnd"/>
      <w:r w:rsidRPr="006D038C">
        <w:rPr>
          <w:rFonts w:ascii="Century Gothic" w:hAnsi="Century Gothic"/>
          <w:sz w:val="20"/>
          <w:szCs w:val="20"/>
        </w:rPr>
        <w:t>, lo que significaría una cuota de renovables en consumo final del 21%.</w:t>
      </w:r>
    </w:p>
    <w:p w14:paraId="303126B9" w14:textId="77777777" w:rsidR="00F27C04" w:rsidRPr="006D038C" w:rsidRDefault="00F27C04" w:rsidP="006D038C">
      <w:pPr>
        <w:pStyle w:val="Default"/>
        <w:spacing w:line="360" w:lineRule="auto"/>
        <w:rPr>
          <w:rFonts w:ascii="Century Gothic" w:hAnsi="Century Gothic"/>
          <w:sz w:val="20"/>
          <w:szCs w:val="20"/>
        </w:rPr>
      </w:pPr>
    </w:p>
    <w:p w14:paraId="2B27EED7" w14:textId="77777777" w:rsidR="00C63FB6" w:rsidRDefault="00F27C04" w:rsidP="006D038C">
      <w:pPr>
        <w:spacing w:line="360" w:lineRule="auto"/>
        <w:jc w:val="both"/>
        <w:rPr>
          <w:rFonts w:ascii="Century Gothic" w:hAnsi="Century Gothic"/>
          <w:sz w:val="20"/>
          <w:szCs w:val="20"/>
        </w:rPr>
      </w:pPr>
      <w:r w:rsidRPr="006D038C">
        <w:rPr>
          <w:rFonts w:ascii="Century Gothic" w:hAnsi="Century Gothic"/>
          <w:sz w:val="20"/>
          <w:szCs w:val="20"/>
        </w:rPr>
        <w:t>Desde el punto de vista medioambiental, la Ley 04/2019 también tiene su encaje. En efecto, la Estra</w:t>
      </w:r>
      <w:r w:rsidRPr="006D038C">
        <w:rPr>
          <w:rFonts w:ascii="Century Gothic" w:hAnsi="Century Gothic"/>
          <w:sz w:val="20"/>
          <w:szCs w:val="20"/>
        </w:rPr>
        <w:softHyphen/>
        <w:t xml:space="preserve">tegia Vasca de Cambio Climático 2050, aprobada en el año 2015, para alcanzar los objetivos de reducción de emisiones de gases de efecto invernadero a largo plazo, establece entre sus metas la de disponer de una administración pública vasca responsable, ejemplar y referente en cambio climático, y señala que para lograr la implicación de todos los agentes de la sociedad vasca se debe impulsar una acción ejemplarizante desde todos los órganos de la Administración pública vasca. </w:t>
      </w:r>
    </w:p>
    <w:p w14:paraId="53D7A0C6" w14:textId="4CF9EDE3" w:rsidR="00F27C04" w:rsidRPr="006D038C" w:rsidRDefault="00F27C04" w:rsidP="006D038C">
      <w:pPr>
        <w:spacing w:line="360" w:lineRule="auto"/>
        <w:jc w:val="both"/>
        <w:rPr>
          <w:rFonts w:ascii="Century Gothic" w:hAnsi="Century Gothic"/>
          <w:sz w:val="20"/>
          <w:szCs w:val="20"/>
        </w:rPr>
      </w:pPr>
      <w:r w:rsidRPr="006D038C">
        <w:rPr>
          <w:rFonts w:ascii="Century Gothic" w:hAnsi="Century Gothic"/>
          <w:sz w:val="20"/>
          <w:szCs w:val="20"/>
        </w:rPr>
        <w:lastRenderedPageBreak/>
        <w:t>Para ello, es necesario llevar a cabo una coordinación horizontal y vertical, es decir, entre los diferentes departamentos del Gobierno Vasco, así como con los ayuntamientos y las diputa</w:t>
      </w:r>
      <w:r w:rsidRPr="006D038C">
        <w:rPr>
          <w:rFonts w:ascii="Century Gothic" w:hAnsi="Century Gothic"/>
          <w:sz w:val="20"/>
          <w:szCs w:val="20"/>
        </w:rPr>
        <w:softHyphen/>
        <w:t>ciones forales. Una de las principales líneas de actuación que se destaca para lograr los objetivos al 2050 es lograr una administración pública 'cero emisiones', sin recurrir a los mecanismos de flexibilidad establecidos por el Protocolo de Kioto y su normativa de desarrollo.</w:t>
      </w:r>
    </w:p>
    <w:p w14:paraId="7D37411B" w14:textId="4BC9A138" w:rsidR="00F27C04" w:rsidRPr="006D038C" w:rsidRDefault="00F27C04" w:rsidP="006D038C">
      <w:pPr>
        <w:spacing w:line="360" w:lineRule="auto"/>
        <w:jc w:val="both"/>
        <w:rPr>
          <w:rFonts w:ascii="Century Gothic" w:hAnsi="Century Gothic"/>
          <w:sz w:val="20"/>
          <w:szCs w:val="20"/>
        </w:rPr>
      </w:pPr>
    </w:p>
    <w:p w14:paraId="113AB74A" w14:textId="353120DD" w:rsidR="00F27C04" w:rsidRPr="006D038C" w:rsidRDefault="00F27C04" w:rsidP="006D038C">
      <w:pPr>
        <w:spacing w:line="360" w:lineRule="auto"/>
        <w:jc w:val="both"/>
        <w:rPr>
          <w:rFonts w:ascii="Century Gothic" w:hAnsi="Century Gothic"/>
          <w:sz w:val="20"/>
          <w:szCs w:val="20"/>
        </w:rPr>
      </w:pPr>
      <w:r w:rsidRPr="006D038C">
        <w:rPr>
          <w:rFonts w:ascii="Century Gothic" w:hAnsi="Century Gothic"/>
          <w:sz w:val="20"/>
          <w:szCs w:val="20"/>
        </w:rPr>
        <w:t>En respuesta a este marco normativo establecido por la Ley 04/2019 de Sostenibilidad Energética de la CAPV,</w:t>
      </w:r>
      <w:r w:rsidR="00343C80" w:rsidRPr="006D038C">
        <w:rPr>
          <w:rFonts w:ascii="Century Gothic" w:hAnsi="Century Gothic"/>
          <w:sz w:val="20"/>
          <w:szCs w:val="20"/>
        </w:rPr>
        <w:t xml:space="preserve"> y</w:t>
      </w:r>
      <w:r w:rsidRPr="006D038C">
        <w:rPr>
          <w:rFonts w:ascii="Century Gothic" w:hAnsi="Century Gothic"/>
          <w:sz w:val="20"/>
          <w:szCs w:val="20"/>
        </w:rPr>
        <w:t xml:space="preserve"> teniendo en cuenta</w:t>
      </w:r>
      <w:r w:rsidR="00343C80" w:rsidRPr="006D038C">
        <w:rPr>
          <w:rFonts w:ascii="Century Gothic" w:hAnsi="Century Gothic"/>
          <w:sz w:val="20"/>
          <w:szCs w:val="20"/>
        </w:rPr>
        <w:t>, obviamente,</w:t>
      </w:r>
      <w:r w:rsidRPr="006D038C">
        <w:rPr>
          <w:rFonts w:ascii="Century Gothic" w:hAnsi="Century Gothic"/>
          <w:sz w:val="20"/>
          <w:szCs w:val="20"/>
        </w:rPr>
        <w:t xml:space="preserve"> el contexto general en materia de energía y cambio climático, todas las administraciones públicas deberán realizar auditorías energéticas y Planes de Acción. En este sentido, la Ley contempla la obligatoriedad de realizar Planes de Acción energéticos, pero el Ayuntamiento de Legutio, </w:t>
      </w:r>
      <w:r w:rsidR="00343C80" w:rsidRPr="006D038C">
        <w:rPr>
          <w:rFonts w:ascii="Century Gothic" w:hAnsi="Century Gothic"/>
          <w:sz w:val="20"/>
          <w:szCs w:val="20"/>
        </w:rPr>
        <w:t>pretende ir un poco más allá de lo exigido por la Ley e incorporar la variable de crisis climática al propio Plan energético, elaborando para ello el denominado Plan de Clima y Energía. Para la elaboración y redacción de estos Planes se tomará como referencia la “Guía para la elaboración de Planes Locales de Clima y Energía de Euskadi”, publicada por IHOBE en el ejercicio 2021.</w:t>
      </w:r>
    </w:p>
    <w:p w14:paraId="38C6859E" w14:textId="3300D53E" w:rsidR="00343C80" w:rsidRPr="006D038C" w:rsidRDefault="00343C80" w:rsidP="006D038C">
      <w:pPr>
        <w:spacing w:line="360" w:lineRule="auto"/>
        <w:jc w:val="both"/>
        <w:rPr>
          <w:rFonts w:ascii="Century Gothic" w:hAnsi="Century Gothic"/>
          <w:sz w:val="20"/>
          <w:szCs w:val="20"/>
        </w:rPr>
      </w:pPr>
    </w:p>
    <w:p w14:paraId="42017301" w14:textId="02AD6A27" w:rsidR="00343C80" w:rsidRPr="001344D9" w:rsidRDefault="00343C80" w:rsidP="001344D9">
      <w:pPr>
        <w:pStyle w:val="Ttulo1"/>
        <w:rPr>
          <w:rFonts w:ascii="Century Gothic" w:hAnsi="Century Gothic"/>
          <w:b/>
          <w:color w:val="auto"/>
          <w:sz w:val="22"/>
          <w:szCs w:val="22"/>
        </w:rPr>
      </w:pPr>
      <w:bookmarkStart w:id="1" w:name="_Toc118290669"/>
      <w:r w:rsidRPr="001344D9">
        <w:rPr>
          <w:rFonts w:ascii="Century Gothic" w:hAnsi="Century Gothic"/>
          <w:b/>
          <w:color w:val="auto"/>
          <w:sz w:val="22"/>
          <w:szCs w:val="22"/>
        </w:rPr>
        <w:t>2. OBJETO DEL CONTRATO</w:t>
      </w:r>
      <w:bookmarkEnd w:id="1"/>
    </w:p>
    <w:p w14:paraId="51CE1E80" w14:textId="6B750784" w:rsidR="00343C80" w:rsidRPr="006D038C" w:rsidRDefault="00343C80" w:rsidP="006D038C">
      <w:pPr>
        <w:spacing w:line="360" w:lineRule="auto"/>
        <w:jc w:val="both"/>
        <w:rPr>
          <w:rFonts w:ascii="Century Gothic" w:hAnsi="Century Gothic"/>
          <w:b/>
          <w:caps/>
          <w:sz w:val="20"/>
          <w:szCs w:val="20"/>
          <w:u w:val="single"/>
        </w:rPr>
      </w:pPr>
    </w:p>
    <w:p w14:paraId="03AE3CD5" w14:textId="0A56BDC6" w:rsidR="00343C80" w:rsidRPr="006D038C" w:rsidRDefault="000D603E" w:rsidP="006D038C">
      <w:pPr>
        <w:spacing w:line="360" w:lineRule="auto"/>
        <w:jc w:val="both"/>
        <w:rPr>
          <w:rFonts w:ascii="Century Gothic" w:hAnsi="Century Gothic"/>
          <w:sz w:val="20"/>
          <w:szCs w:val="20"/>
        </w:rPr>
      </w:pPr>
      <w:r w:rsidRPr="006D038C">
        <w:rPr>
          <w:rFonts w:ascii="Century Gothic" w:hAnsi="Century Gothic"/>
          <w:sz w:val="20"/>
          <w:szCs w:val="20"/>
        </w:rPr>
        <w:t xml:space="preserve">El objeto del proyecto es por una parte la elaboración y redacción de la auditoría energética acorde a lo establecido por la Ley 04/2019 de Sostenibilidad Energética de la CAPV, y por otro lado la redacción y elaboración del Plan de Clima y Energía de Legutio, como marco de planificación estratégico del municipio orientado a estructurar la acción local en materia de adaptación al cambio climático. El objetivo de la redacción de ambos documentos es dar cumplimiento a los requerimientos de la ley 4/2019 de sostenibilidad energética de la Comunidad Autónoma Vasca en lo referente a contabilidad, planificación y comunicación energética y contar a su vez con estos documentos de referencia que permitan desarrollar </w:t>
      </w:r>
      <w:r w:rsidR="00D40DE7" w:rsidRPr="006D038C">
        <w:rPr>
          <w:rFonts w:ascii="Century Gothic" w:hAnsi="Century Gothic"/>
          <w:sz w:val="20"/>
          <w:szCs w:val="20"/>
        </w:rPr>
        <w:t>acciones efectivas que favorezcan la consecución de los objetivos en materia de energía y cambio climático.</w:t>
      </w:r>
    </w:p>
    <w:p w14:paraId="3CBAF839" w14:textId="6BD16B63" w:rsidR="00035526" w:rsidRPr="006D038C" w:rsidRDefault="00035526" w:rsidP="006D038C">
      <w:pPr>
        <w:spacing w:line="360" w:lineRule="auto"/>
        <w:jc w:val="both"/>
        <w:rPr>
          <w:rFonts w:ascii="Century Gothic" w:hAnsi="Century Gothic"/>
          <w:sz w:val="20"/>
          <w:szCs w:val="20"/>
        </w:rPr>
      </w:pPr>
    </w:p>
    <w:p w14:paraId="5C119625" w14:textId="3746B9DD" w:rsidR="00035526" w:rsidRPr="006D038C" w:rsidRDefault="00035526" w:rsidP="006D038C">
      <w:pPr>
        <w:spacing w:line="360" w:lineRule="auto"/>
        <w:jc w:val="both"/>
        <w:rPr>
          <w:rFonts w:ascii="Century Gothic" w:hAnsi="Century Gothic"/>
          <w:sz w:val="20"/>
          <w:szCs w:val="20"/>
        </w:rPr>
      </w:pPr>
      <w:r w:rsidRPr="006D038C">
        <w:rPr>
          <w:rFonts w:ascii="Century Gothic" w:hAnsi="Century Gothic"/>
          <w:sz w:val="20"/>
          <w:szCs w:val="20"/>
        </w:rPr>
        <w:t xml:space="preserve">Dado que una parte importante del alcance del contenido del Plan de Clima y Energía es relativa al ámbito energético, se deberá aprovechar el contenido y resultados de la propia auditoría energética así como el documento </w:t>
      </w:r>
      <w:r w:rsidR="0070765F" w:rsidRPr="006D038C">
        <w:rPr>
          <w:rFonts w:ascii="Century Gothic" w:hAnsi="Century Gothic"/>
          <w:sz w:val="20"/>
          <w:szCs w:val="20"/>
        </w:rPr>
        <w:t xml:space="preserve">Análisis Energético Municipal </w:t>
      </w:r>
      <w:r w:rsidRPr="006D038C">
        <w:rPr>
          <w:rFonts w:ascii="Century Gothic" w:hAnsi="Century Gothic"/>
          <w:sz w:val="20"/>
          <w:szCs w:val="20"/>
        </w:rPr>
        <w:t>realizado por EVE en el ejercicio 2011</w:t>
      </w:r>
      <w:r w:rsidR="0061737B" w:rsidRPr="006D038C">
        <w:rPr>
          <w:rFonts w:ascii="Century Gothic" w:hAnsi="Century Gothic"/>
          <w:sz w:val="20"/>
          <w:szCs w:val="20"/>
        </w:rPr>
        <w:t xml:space="preserve"> </w:t>
      </w:r>
      <w:r w:rsidR="0070765F" w:rsidRPr="006D038C">
        <w:rPr>
          <w:rFonts w:ascii="Century Gothic" w:hAnsi="Century Gothic"/>
          <w:sz w:val="20"/>
          <w:szCs w:val="20"/>
        </w:rPr>
        <w:t xml:space="preserve">que contiene un </w:t>
      </w:r>
      <w:r w:rsidR="00E95160" w:rsidRPr="006D038C">
        <w:rPr>
          <w:rFonts w:ascii="Century Gothic" w:hAnsi="Century Gothic"/>
          <w:sz w:val="20"/>
          <w:szCs w:val="20"/>
        </w:rPr>
        <w:t xml:space="preserve">primer </w:t>
      </w:r>
      <w:r w:rsidR="0070765F" w:rsidRPr="006D038C">
        <w:rPr>
          <w:rFonts w:ascii="Century Gothic" w:hAnsi="Century Gothic"/>
          <w:sz w:val="20"/>
          <w:szCs w:val="20"/>
        </w:rPr>
        <w:t xml:space="preserve">apartado de Eficiencia Energética en Alumbrado Público y Edificios Municipales, con </w:t>
      </w:r>
      <w:r w:rsidR="0070765F" w:rsidRPr="006D038C">
        <w:rPr>
          <w:rFonts w:ascii="Century Gothic" w:hAnsi="Century Gothic"/>
          <w:sz w:val="20"/>
          <w:szCs w:val="20"/>
        </w:rPr>
        <w:lastRenderedPageBreak/>
        <w:t>un plan de actuación en base al análisis realizado, y una segunda parte sobre la potencialidad de</w:t>
      </w:r>
      <w:r w:rsidR="00E95160" w:rsidRPr="006D038C">
        <w:rPr>
          <w:rFonts w:ascii="Century Gothic" w:hAnsi="Century Gothic"/>
          <w:sz w:val="20"/>
          <w:szCs w:val="20"/>
        </w:rPr>
        <w:t>l aprovechamiento de energías renovables</w:t>
      </w:r>
      <w:r w:rsidRPr="006D038C">
        <w:rPr>
          <w:rFonts w:ascii="Century Gothic" w:hAnsi="Century Gothic"/>
          <w:sz w:val="20"/>
          <w:szCs w:val="20"/>
        </w:rPr>
        <w:t xml:space="preserve"> </w:t>
      </w:r>
      <w:r w:rsidR="00E95160" w:rsidRPr="006D038C">
        <w:rPr>
          <w:rFonts w:ascii="Century Gothic" w:hAnsi="Century Gothic"/>
          <w:sz w:val="20"/>
          <w:szCs w:val="20"/>
        </w:rPr>
        <w:t xml:space="preserve">en el Municipio, </w:t>
      </w:r>
      <w:r w:rsidRPr="006D038C">
        <w:rPr>
          <w:rFonts w:ascii="Century Gothic" w:hAnsi="Century Gothic"/>
          <w:sz w:val="20"/>
          <w:szCs w:val="20"/>
        </w:rPr>
        <w:t>y que se pondrá a disposición</w:t>
      </w:r>
      <w:r w:rsidR="006A3B27" w:rsidRPr="006D038C">
        <w:rPr>
          <w:rFonts w:ascii="Century Gothic" w:hAnsi="Century Gothic"/>
          <w:sz w:val="20"/>
          <w:szCs w:val="20"/>
        </w:rPr>
        <w:t xml:space="preserve"> del equipo redactor que resulte adjudicatario de los trabajos.</w:t>
      </w:r>
    </w:p>
    <w:p w14:paraId="740D239A" w14:textId="371BB21F" w:rsidR="000D603E" w:rsidRPr="006D038C" w:rsidRDefault="000D603E" w:rsidP="006D038C">
      <w:pPr>
        <w:spacing w:line="360" w:lineRule="auto"/>
        <w:jc w:val="both"/>
        <w:rPr>
          <w:rFonts w:ascii="Century Gothic" w:hAnsi="Century Gothic"/>
          <w:sz w:val="20"/>
          <w:szCs w:val="20"/>
        </w:rPr>
      </w:pPr>
    </w:p>
    <w:p w14:paraId="587F70C4" w14:textId="77777777" w:rsidR="006A3B27" w:rsidRPr="006D038C" w:rsidRDefault="006A3B27" w:rsidP="006D038C">
      <w:pPr>
        <w:spacing w:line="360" w:lineRule="auto"/>
        <w:jc w:val="both"/>
        <w:rPr>
          <w:rFonts w:ascii="Century Gothic" w:hAnsi="Century Gothic"/>
          <w:b/>
          <w:caps/>
          <w:sz w:val="20"/>
          <w:szCs w:val="20"/>
          <w:u w:val="single"/>
        </w:rPr>
      </w:pPr>
    </w:p>
    <w:p w14:paraId="3C8D2DBF" w14:textId="5FB0B822" w:rsidR="000D603E" w:rsidRPr="001344D9" w:rsidRDefault="00D40DE7" w:rsidP="001344D9">
      <w:pPr>
        <w:pStyle w:val="Ttulo1"/>
        <w:rPr>
          <w:rFonts w:ascii="Century Gothic" w:hAnsi="Century Gothic"/>
          <w:b/>
          <w:color w:val="auto"/>
          <w:sz w:val="22"/>
          <w:szCs w:val="22"/>
        </w:rPr>
      </w:pPr>
      <w:bookmarkStart w:id="2" w:name="_Toc118290670"/>
      <w:r w:rsidRPr="001344D9">
        <w:rPr>
          <w:rFonts w:ascii="Century Gothic" w:hAnsi="Century Gothic"/>
          <w:b/>
          <w:color w:val="auto"/>
          <w:sz w:val="22"/>
          <w:szCs w:val="22"/>
        </w:rPr>
        <w:t>3. ALCANCE Y CONTENIDO</w:t>
      </w:r>
      <w:bookmarkEnd w:id="2"/>
    </w:p>
    <w:p w14:paraId="662E58B4" w14:textId="1B0DE7EE" w:rsidR="00D40DE7" w:rsidRPr="006D038C" w:rsidRDefault="00D40DE7" w:rsidP="006D038C">
      <w:pPr>
        <w:spacing w:line="360" w:lineRule="auto"/>
        <w:jc w:val="both"/>
        <w:rPr>
          <w:rFonts w:ascii="Century Gothic" w:hAnsi="Century Gothic"/>
          <w:b/>
          <w:caps/>
          <w:sz w:val="20"/>
          <w:szCs w:val="20"/>
          <w:u w:val="single"/>
        </w:rPr>
      </w:pPr>
    </w:p>
    <w:p w14:paraId="7F875692" w14:textId="580E393F" w:rsidR="00D40DE7" w:rsidRPr="00423A9E" w:rsidRDefault="00D40DE7" w:rsidP="00887A73">
      <w:pPr>
        <w:pStyle w:val="Ttulo2"/>
        <w:rPr>
          <w:rFonts w:ascii="Century Gothic" w:hAnsi="Century Gothic"/>
          <w:color w:val="auto"/>
          <w:sz w:val="22"/>
          <w:szCs w:val="22"/>
        </w:rPr>
      </w:pPr>
      <w:bookmarkStart w:id="3" w:name="_Toc118290671"/>
      <w:r w:rsidRPr="00423A9E">
        <w:rPr>
          <w:rFonts w:ascii="Century Gothic" w:hAnsi="Century Gothic"/>
          <w:color w:val="auto"/>
          <w:sz w:val="22"/>
          <w:szCs w:val="22"/>
        </w:rPr>
        <w:t>3.1 ENFOQUE</w:t>
      </w:r>
      <w:bookmarkEnd w:id="3"/>
    </w:p>
    <w:p w14:paraId="47AB36FF" w14:textId="76B9EC32" w:rsidR="00D40DE7" w:rsidRPr="006D038C" w:rsidRDefault="00D40DE7" w:rsidP="006D038C">
      <w:pPr>
        <w:spacing w:line="360" w:lineRule="auto"/>
        <w:jc w:val="both"/>
        <w:rPr>
          <w:rFonts w:ascii="Century Gothic" w:hAnsi="Century Gothic"/>
          <w:b/>
          <w:caps/>
          <w:sz w:val="20"/>
          <w:szCs w:val="20"/>
          <w:u w:val="single"/>
        </w:rPr>
      </w:pPr>
    </w:p>
    <w:p w14:paraId="55A72815" w14:textId="5815698E" w:rsidR="00D40DE7" w:rsidRPr="006D038C" w:rsidRDefault="00D40DE7"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La elaboración de estos documentos ha de permitir simultáneamente el cumplimiento de los requerimientos de la Ley 04/2019 de Sostenibilidad Energética de la Comunidad Autónoma Vasca en lo referente a contabilidad, planificación y comunicación energética y que facilite al Ayuntamiento de Legutio dar respuesta a la elaboración del</w:t>
      </w:r>
      <w:r w:rsidR="009371E5" w:rsidRPr="006D038C">
        <w:rPr>
          <w:rFonts w:ascii="Century Gothic" w:hAnsi="Century Gothic"/>
          <w:sz w:val="20"/>
          <w:szCs w:val="20"/>
        </w:rPr>
        <w:t xml:space="preserve"> </w:t>
      </w:r>
      <w:r w:rsidRPr="006D038C">
        <w:rPr>
          <w:rFonts w:ascii="Century Gothic" w:hAnsi="Century Gothic"/>
          <w:sz w:val="20"/>
          <w:szCs w:val="20"/>
        </w:rPr>
        <w:t>Plan de Actuación Energética indicado en la</w:t>
      </w:r>
      <w:r w:rsidR="009371E5" w:rsidRPr="006D038C">
        <w:rPr>
          <w:rFonts w:ascii="Century Gothic" w:hAnsi="Century Gothic"/>
          <w:sz w:val="20"/>
          <w:szCs w:val="20"/>
        </w:rPr>
        <w:t xml:space="preserve"> </w:t>
      </w:r>
      <w:r w:rsidRPr="006D038C">
        <w:rPr>
          <w:rFonts w:ascii="Century Gothic" w:hAnsi="Century Gothic"/>
          <w:sz w:val="20"/>
          <w:szCs w:val="20"/>
        </w:rPr>
        <w:t>citada Ley y afrontar los retos de acción local</w:t>
      </w:r>
      <w:r w:rsidR="009371E5" w:rsidRPr="006D038C">
        <w:rPr>
          <w:rFonts w:ascii="Century Gothic" w:hAnsi="Century Gothic"/>
          <w:sz w:val="20"/>
          <w:szCs w:val="20"/>
        </w:rPr>
        <w:t xml:space="preserve"> </w:t>
      </w:r>
      <w:r w:rsidRPr="006D038C">
        <w:rPr>
          <w:rFonts w:ascii="Century Gothic" w:hAnsi="Century Gothic"/>
          <w:sz w:val="20"/>
          <w:szCs w:val="20"/>
        </w:rPr>
        <w:t>por el clima de la futura Ley de Transición</w:t>
      </w:r>
      <w:r w:rsidR="009371E5" w:rsidRPr="006D038C">
        <w:rPr>
          <w:rFonts w:ascii="Century Gothic" w:hAnsi="Century Gothic"/>
          <w:sz w:val="20"/>
          <w:szCs w:val="20"/>
        </w:rPr>
        <w:t xml:space="preserve"> </w:t>
      </w:r>
      <w:r w:rsidRPr="006D038C">
        <w:rPr>
          <w:rFonts w:ascii="Century Gothic" w:hAnsi="Century Gothic"/>
          <w:sz w:val="20"/>
          <w:szCs w:val="20"/>
        </w:rPr>
        <w:t>Energética y Cambio Climático de la CAPV.</w:t>
      </w:r>
    </w:p>
    <w:p w14:paraId="4FBF4846" w14:textId="77777777" w:rsidR="009371E5" w:rsidRPr="006D038C" w:rsidRDefault="009371E5" w:rsidP="006D038C">
      <w:pPr>
        <w:autoSpaceDE w:val="0"/>
        <w:autoSpaceDN w:val="0"/>
        <w:adjustRightInd w:val="0"/>
        <w:spacing w:line="360" w:lineRule="auto"/>
        <w:jc w:val="both"/>
        <w:rPr>
          <w:rFonts w:ascii="Century Gothic" w:hAnsi="Century Gothic"/>
          <w:sz w:val="20"/>
          <w:szCs w:val="20"/>
        </w:rPr>
      </w:pPr>
    </w:p>
    <w:p w14:paraId="7CC0CDF8" w14:textId="7768C503" w:rsidR="009371E5" w:rsidRPr="006D038C" w:rsidRDefault="009371E5"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El Plan permitirá concretar y priorizar las acciones a llevar a cabo para alcanzar los objetivos de reducción del 40% de las emisiones de gases de efecto invernadero. En línea con la futura Ley de Transición energética y Cambio Climático de la CAPV, el Plan deberá incorporar medidas de eficiencia energética que permitan el ahorro energético, favorezcan la penetración de energías renovables y aumenten la resiliencia y adaptación al cambio climático del municipio.</w:t>
      </w:r>
    </w:p>
    <w:p w14:paraId="095AED85" w14:textId="0056AA50" w:rsidR="009371E5" w:rsidRPr="006D038C" w:rsidRDefault="009371E5" w:rsidP="006D038C">
      <w:pPr>
        <w:autoSpaceDE w:val="0"/>
        <w:autoSpaceDN w:val="0"/>
        <w:adjustRightInd w:val="0"/>
        <w:spacing w:line="360" w:lineRule="auto"/>
        <w:jc w:val="both"/>
        <w:rPr>
          <w:rFonts w:ascii="Century Gothic" w:hAnsi="Century Gothic"/>
          <w:sz w:val="20"/>
          <w:szCs w:val="20"/>
        </w:rPr>
      </w:pPr>
    </w:p>
    <w:p w14:paraId="17D06BDF" w14:textId="15A6DA4E" w:rsidR="009371E5" w:rsidRPr="00887A73" w:rsidRDefault="009371E5" w:rsidP="00887A73">
      <w:pPr>
        <w:pStyle w:val="Ttulo2"/>
        <w:rPr>
          <w:rFonts w:ascii="Century Gothic" w:hAnsi="Century Gothic"/>
          <w:color w:val="auto"/>
          <w:sz w:val="22"/>
          <w:szCs w:val="22"/>
        </w:rPr>
      </w:pPr>
      <w:bookmarkStart w:id="4" w:name="_Toc118290672"/>
      <w:r w:rsidRPr="00887A73">
        <w:rPr>
          <w:rFonts w:ascii="Century Gothic" w:hAnsi="Century Gothic"/>
          <w:color w:val="auto"/>
          <w:sz w:val="22"/>
          <w:szCs w:val="22"/>
        </w:rPr>
        <w:t>3.2 ALCANCE Y CONTENIDO</w:t>
      </w:r>
      <w:bookmarkEnd w:id="4"/>
    </w:p>
    <w:p w14:paraId="3D11900B" w14:textId="65CFC831" w:rsidR="009371E5" w:rsidRPr="006D038C" w:rsidRDefault="009371E5" w:rsidP="006D038C">
      <w:pPr>
        <w:spacing w:line="360" w:lineRule="auto"/>
        <w:jc w:val="both"/>
        <w:rPr>
          <w:rFonts w:ascii="Century Gothic" w:hAnsi="Century Gothic"/>
          <w:b/>
          <w:caps/>
          <w:sz w:val="20"/>
          <w:szCs w:val="20"/>
          <w:u w:val="single"/>
        </w:rPr>
      </w:pPr>
    </w:p>
    <w:p w14:paraId="6F3FE39A" w14:textId="6BE8E85B" w:rsidR="009371E5" w:rsidRPr="009A0493" w:rsidRDefault="009371E5" w:rsidP="009A0493">
      <w:pPr>
        <w:pStyle w:val="Ttulo3"/>
        <w:rPr>
          <w:rFonts w:ascii="Century Gothic" w:hAnsi="Century Gothic"/>
          <w:color w:val="auto"/>
          <w:sz w:val="22"/>
          <w:szCs w:val="22"/>
        </w:rPr>
      </w:pPr>
      <w:bookmarkStart w:id="5" w:name="_Toc118290673"/>
      <w:r w:rsidRPr="009A0493">
        <w:rPr>
          <w:rFonts w:ascii="Century Gothic" w:hAnsi="Century Gothic"/>
          <w:color w:val="auto"/>
          <w:sz w:val="22"/>
          <w:szCs w:val="22"/>
        </w:rPr>
        <w:t>3.2.1 AUDITORÍA ENERGÉTICA</w:t>
      </w:r>
      <w:bookmarkEnd w:id="5"/>
    </w:p>
    <w:p w14:paraId="56D243BA" w14:textId="77777777" w:rsidR="00963C50" w:rsidRPr="006D038C" w:rsidRDefault="00963C50" w:rsidP="006D038C">
      <w:pPr>
        <w:autoSpaceDE w:val="0"/>
        <w:autoSpaceDN w:val="0"/>
        <w:adjustRightInd w:val="0"/>
        <w:spacing w:line="360" w:lineRule="auto"/>
        <w:rPr>
          <w:rFonts w:ascii="Century Gothic" w:hAnsi="Century Gothic"/>
          <w:b/>
          <w:caps/>
          <w:sz w:val="20"/>
          <w:szCs w:val="20"/>
          <w:u w:val="single"/>
        </w:rPr>
      </w:pPr>
    </w:p>
    <w:p w14:paraId="6B57922A" w14:textId="54B312F0" w:rsidR="00963C50" w:rsidRPr="006D038C" w:rsidRDefault="00963C50"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En cuanto al alcance de la auditoría a realizar, en líneas generales, deberá ser acorde a las exigencias establecidas en la Ley 04/2019 de sostenibilidad energética, que se indican a continuación: </w:t>
      </w:r>
    </w:p>
    <w:p w14:paraId="74EA57BA" w14:textId="77777777" w:rsidR="00963C50" w:rsidRPr="006D038C" w:rsidRDefault="00963C50" w:rsidP="006D038C">
      <w:pPr>
        <w:autoSpaceDE w:val="0"/>
        <w:autoSpaceDN w:val="0"/>
        <w:adjustRightInd w:val="0"/>
        <w:spacing w:line="360" w:lineRule="auto"/>
        <w:jc w:val="both"/>
        <w:rPr>
          <w:rFonts w:ascii="Century Gothic" w:hAnsi="Century Gothic"/>
          <w:sz w:val="20"/>
          <w:szCs w:val="20"/>
        </w:rPr>
      </w:pPr>
    </w:p>
    <w:p w14:paraId="198F37B7" w14:textId="67BF5498" w:rsidR="00963C50" w:rsidRPr="007D24DB" w:rsidRDefault="00963C50" w:rsidP="007D24DB">
      <w:pPr>
        <w:pStyle w:val="Prrafodelista"/>
        <w:numPr>
          <w:ilvl w:val="0"/>
          <w:numId w:val="19"/>
        </w:numPr>
        <w:autoSpaceDE w:val="0"/>
        <w:autoSpaceDN w:val="0"/>
        <w:adjustRightInd w:val="0"/>
        <w:spacing w:line="360" w:lineRule="auto"/>
        <w:jc w:val="both"/>
        <w:rPr>
          <w:rFonts w:ascii="Century Gothic" w:hAnsi="Century Gothic"/>
          <w:sz w:val="20"/>
          <w:szCs w:val="20"/>
        </w:rPr>
      </w:pPr>
      <w:r w:rsidRPr="007D24DB">
        <w:rPr>
          <w:rFonts w:ascii="Century Gothic" w:hAnsi="Century Gothic"/>
          <w:sz w:val="20"/>
          <w:szCs w:val="20"/>
        </w:rPr>
        <w:t xml:space="preserve">Las auditorías energéticas tendrán la finalidad de realizar un diagnóstico sobre su consumo energético y sus potenciales niveles de ahorro y eficiencia energética, así como las recomendaciones para su mejora y para la implantación de energías renovables. </w:t>
      </w:r>
    </w:p>
    <w:p w14:paraId="26593508" w14:textId="57F7318B" w:rsidR="00963C50" w:rsidRPr="007D24DB" w:rsidRDefault="00963C50" w:rsidP="007D24DB">
      <w:pPr>
        <w:pStyle w:val="Prrafodelista"/>
        <w:numPr>
          <w:ilvl w:val="0"/>
          <w:numId w:val="19"/>
        </w:numPr>
        <w:autoSpaceDE w:val="0"/>
        <w:autoSpaceDN w:val="0"/>
        <w:adjustRightInd w:val="0"/>
        <w:spacing w:line="360" w:lineRule="auto"/>
        <w:jc w:val="both"/>
        <w:rPr>
          <w:rFonts w:ascii="Century Gothic" w:hAnsi="Century Gothic"/>
          <w:sz w:val="20"/>
          <w:szCs w:val="20"/>
        </w:rPr>
      </w:pPr>
      <w:r w:rsidRPr="007D24DB">
        <w:rPr>
          <w:rFonts w:ascii="Century Gothic" w:hAnsi="Century Gothic"/>
          <w:sz w:val="20"/>
          <w:szCs w:val="20"/>
        </w:rPr>
        <w:lastRenderedPageBreak/>
        <w:t xml:space="preserve">El alumbrado público exterior será objeto de una auditoría energética independiente, que deberá contener, en todo caso, el análisis previo de los niveles de iluminación óptimos para cada vía pública, así como las prioridades de renovación y reducción de los componentes del alumbrado público exterior </w:t>
      </w:r>
    </w:p>
    <w:p w14:paraId="47544DAC" w14:textId="302ADEFA" w:rsidR="00963C50" w:rsidRPr="007D24DB" w:rsidRDefault="00963C50" w:rsidP="007D24DB">
      <w:pPr>
        <w:pStyle w:val="Prrafodelista"/>
        <w:numPr>
          <w:ilvl w:val="0"/>
          <w:numId w:val="19"/>
        </w:numPr>
        <w:autoSpaceDE w:val="0"/>
        <w:autoSpaceDN w:val="0"/>
        <w:adjustRightInd w:val="0"/>
        <w:spacing w:line="360" w:lineRule="auto"/>
        <w:jc w:val="both"/>
        <w:rPr>
          <w:rFonts w:ascii="Century Gothic" w:hAnsi="Century Gothic"/>
          <w:sz w:val="20"/>
          <w:szCs w:val="20"/>
        </w:rPr>
      </w:pPr>
      <w:r w:rsidRPr="007D24DB">
        <w:rPr>
          <w:rFonts w:ascii="Century Gothic" w:hAnsi="Century Gothic"/>
          <w:sz w:val="20"/>
          <w:szCs w:val="20"/>
        </w:rPr>
        <w:t xml:space="preserve">Los indicadores relativos a la auditoría energética, tendrán al menos, los siguientes contenidos: </w:t>
      </w:r>
    </w:p>
    <w:p w14:paraId="7A293D3B" w14:textId="1B1EFB8B" w:rsidR="00963C50" w:rsidRPr="006D038C" w:rsidRDefault="00963C50" w:rsidP="006D038C">
      <w:pPr>
        <w:autoSpaceDE w:val="0"/>
        <w:autoSpaceDN w:val="0"/>
        <w:adjustRightInd w:val="0"/>
        <w:spacing w:line="360" w:lineRule="auto"/>
        <w:jc w:val="both"/>
        <w:rPr>
          <w:rFonts w:ascii="Century Gothic" w:hAnsi="Century Gothic"/>
          <w:sz w:val="20"/>
          <w:szCs w:val="20"/>
        </w:rPr>
      </w:pPr>
    </w:p>
    <w:p w14:paraId="27A97337" w14:textId="31815F63" w:rsidR="00963C50" w:rsidRPr="007D24DB" w:rsidRDefault="00963C50" w:rsidP="00423A9E">
      <w:pPr>
        <w:pStyle w:val="Prrafodelista"/>
        <w:numPr>
          <w:ilvl w:val="0"/>
          <w:numId w:val="20"/>
        </w:numPr>
        <w:autoSpaceDE w:val="0"/>
        <w:autoSpaceDN w:val="0"/>
        <w:adjustRightInd w:val="0"/>
        <w:spacing w:line="360" w:lineRule="auto"/>
        <w:ind w:left="1701"/>
        <w:jc w:val="both"/>
        <w:rPr>
          <w:rFonts w:ascii="Century Gothic" w:hAnsi="Century Gothic"/>
          <w:sz w:val="20"/>
          <w:szCs w:val="20"/>
        </w:rPr>
      </w:pPr>
      <w:r w:rsidRPr="007D24DB">
        <w:rPr>
          <w:rFonts w:ascii="Century Gothic" w:hAnsi="Century Gothic"/>
          <w:sz w:val="20"/>
          <w:szCs w:val="20"/>
        </w:rPr>
        <w:t xml:space="preserve">Consumo anual de cada unidad de actuación energética. </w:t>
      </w:r>
    </w:p>
    <w:p w14:paraId="2AB5C14D" w14:textId="75CC1AEF" w:rsidR="00963C50" w:rsidRPr="007D24DB" w:rsidRDefault="00963C50" w:rsidP="00423A9E">
      <w:pPr>
        <w:pStyle w:val="Prrafodelista"/>
        <w:numPr>
          <w:ilvl w:val="0"/>
          <w:numId w:val="20"/>
        </w:numPr>
        <w:autoSpaceDE w:val="0"/>
        <w:autoSpaceDN w:val="0"/>
        <w:adjustRightInd w:val="0"/>
        <w:spacing w:line="360" w:lineRule="auto"/>
        <w:ind w:left="1701"/>
        <w:jc w:val="both"/>
        <w:rPr>
          <w:rFonts w:ascii="Century Gothic" w:hAnsi="Century Gothic"/>
          <w:sz w:val="20"/>
          <w:szCs w:val="20"/>
        </w:rPr>
      </w:pPr>
      <w:r w:rsidRPr="007D24DB">
        <w:rPr>
          <w:rFonts w:ascii="Century Gothic" w:hAnsi="Century Gothic"/>
          <w:sz w:val="20"/>
          <w:szCs w:val="20"/>
        </w:rPr>
        <w:t xml:space="preserve">Consumos específicos y su distribución, abarcando instalaciones, procesos, equipos, parque móvil, calefacción, climatización, iluminación interior y alumbrado público exterior. </w:t>
      </w:r>
    </w:p>
    <w:p w14:paraId="19C562EB" w14:textId="7122BE07" w:rsidR="00963C50" w:rsidRPr="007D24DB" w:rsidRDefault="00963C50" w:rsidP="00423A9E">
      <w:pPr>
        <w:pStyle w:val="Prrafodelista"/>
        <w:numPr>
          <w:ilvl w:val="0"/>
          <w:numId w:val="20"/>
        </w:numPr>
        <w:autoSpaceDE w:val="0"/>
        <w:autoSpaceDN w:val="0"/>
        <w:adjustRightInd w:val="0"/>
        <w:spacing w:line="360" w:lineRule="auto"/>
        <w:ind w:left="1701"/>
        <w:jc w:val="both"/>
        <w:rPr>
          <w:rFonts w:ascii="Century Gothic" w:hAnsi="Century Gothic"/>
          <w:sz w:val="20"/>
          <w:szCs w:val="20"/>
        </w:rPr>
      </w:pPr>
      <w:r w:rsidRPr="007D24DB">
        <w:rPr>
          <w:rFonts w:ascii="Century Gothic" w:hAnsi="Century Gothic"/>
          <w:sz w:val="20"/>
          <w:szCs w:val="20"/>
        </w:rPr>
        <w:t xml:space="preserve">Porcentajes de suministro energético, distinguiendo entre fuentes convencionales y otras provenientes de energías renovables. </w:t>
      </w:r>
    </w:p>
    <w:p w14:paraId="447090D6" w14:textId="72797A6D" w:rsidR="00963C50" w:rsidRPr="007D24DB" w:rsidRDefault="00963C50" w:rsidP="00423A9E">
      <w:pPr>
        <w:pStyle w:val="Prrafodelista"/>
        <w:numPr>
          <w:ilvl w:val="0"/>
          <w:numId w:val="20"/>
        </w:numPr>
        <w:autoSpaceDE w:val="0"/>
        <w:autoSpaceDN w:val="0"/>
        <w:adjustRightInd w:val="0"/>
        <w:spacing w:line="360" w:lineRule="auto"/>
        <w:ind w:left="1701"/>
        <w:jc w:val="both"/>
        <w:rPr>
          <w:rFonts w:ascii="Century Gothic" w:hAnsi="Century Gothic"/>
          <w:sz w:val="20"/>
          <w:szCs w:val="20"/>
        </w:rPr>
      </w:pPr>
      <w:r w:rsidRPr="007D24DB">
        <w:rPr>
          <w:rFonts w:ascii="Century Gothic" w:hAnsi="Century Gothic"/>
          <w:sz w:val="20"/>
          <w:szCs w:val="20"/>
        </w:rPr>
        <w:t xml:space="preserve">Análisis de la eficiencia de edificios, instalaciones, equipos y procesos. </w:t>
      </w:r>
    </w:p>
    <w:p w14:paraId="2D7135D0" w14:textId="7DBD6BA2" w:rsidR="00963C50" w:rsidRPr="007D24DB" w:rsidRDefault="00963C50" w:rsidP="00423A9E">
      <w:pPr>
        <w:pStyle w:val="Prrafodelista"/>
        <w:numPr>
          <w:ilvl w:val="0"/>
          <w:numId w:val="20"/>
        </w:numPr>
        <w:autoSpaceDE w:val="0"/>
        <w:autoSpaceDN w:val="0"/>
        <w:adjustRightInd w:val="0"/>
        <w:spacing w:line="360" w:lineRule="auto"/>
        <w:ind w:left="1701"/>
        <w:jc w:val="both"/>
        <w:rPr>
          <w:rFonts w:ascii="Century Gothic" w:hAnsi="Century Gothic"/>
          <w:sz w:val="20"/>
          <w:szCs w:val="20"/>
        </w:rPr>
      </w:pPr>
      <w:r w:rsidRPr="007D24DB">
        <w:rPr>
          <w:rFonts w:ascii="Century Gothic" w:hAnsi="Century Gothic"/>
          <w:sz w:val="20"/>
          <w:szCs w:val="20"/>
        </w:rPr>
        <w:t xml:space="preserve">Análisis de la efectividad de las medidas que se estén adoptando. </w:t>
      </w:r>
    </w:p>
    <w:p w14:paraId="6B2A3EC2" w14:textId="479BEF31" w:rsidR="00963C50" w:rsidRPr="007D24DB" w:rsidRDefault="00963C50" w:rsidP="00423A9E">
      <w:pPr>
        <w:pStyle w:val="Prrafodelista"/>
        <w:numPr>
          <w:ilvl w:val="0"/>
          <w:numId w:val="20"/>
        </w:numPr>
        <w:autoSpaceDE w:val="0"/>
        <w:autoSpaceDN w:val="0"/>
        <w:adjustRightInd w:val="0"/>
        <w:spacing w:line="360" w:lineRule="auto"/>
        <w:ind w:left="1701"/>
        <w:jc w:val="both"/>
        <w:rPr>
          <w:rFonts w:ascii="Century Gothic" w:hAnsi="Century Gothic"/>
          <w:sz w:val="20"/>
          <w:szCs w:val="20"/>
        </w:rPr>
      </w:pPr>
      <w:r w:rsidRPr="007D24DB">
        <w:rPr>
          <w:rFonts w:ascii="Century Gothic" w:hAnsi="Century Gothic"/>
          <w:sz w:val="20"/>
          <w:szCs w:val="20"/>
        </w:rPr>
        <w:t xml:space="preserve">Recomendaciones y posibles mejoras en edificios, instalaciones, calefacción, climatización, parque móvil, iluminación interior, alumbrado público exterior, procesos de consumo, de ahorro y eficiencia, y de compras, señalando aquellas que, de acuerdo con la auditoría, resulten prioritarias. </w:t>
      </w:r>
    </w:p>
    <w:p w14:paraId="4EB67C48" w14:textId="3CEAD742" w:rsidR="00963C50" w:rsidRPr="007D24DB" w:rsidRDefault="00963C50" w:rsidP="00423A9E">
      <w:pPr>
        <w:pStyle w:val="Prrafodelista"/>
        <w:numPr>
          <w:ilvl w:val="0"/>
          <w:numId w:val="20"/>
        </w:numPr>
        <w:autoSpaceDE w:val="0"/>
        <w:autoSpaceDN w:val="0"/>
        <w:adjustRightInd w:val="0"/>
        <w:spacing w:line="360" w:lineRule="auto"/>
        <w:ind w:left="1701"/>
        <w:jc w:val="both"/>
        <w:rPr>
          <w:rFonts w:ascii="Century Gothic" w:hAnsi="Century Gothic"/>
          <w:sz w:val="20"/>
          <w:szCs w:val="20"/>
        </w:rPr>
      </w:pPr>
      <w:r w:rsidRPr="007D24DB">
        <w:rPr>
          <w:rFonts w:ascii="Century Gothic" w:hAnsi="Century Gothic"/>
          <w:sz w:val="20"/>
          <w:szCs w:val="20"/>
        </w:rPr>
        <w:t xml:space="preserve">Buenas prácticas en materia de energías renovables. </w:t>
      </w:r>
    </w:p>
    <w:p w14:paraId="0EA4C7C2" w14:textId="536F4154" w:rsidR="00963C50" w:rsidRPr="007D24DB" w:rsidRDefault="00963C50" w:rsidP="00423A9E">
      <w:pPr>
        <w:pStyle w:val="Prrafodelista"/>
        <w:numPr>
          <w:ilvl w:val="0"/>
          <w:numId w:val="20"/>
        </w:numPr>
        <w:autoSpaceDE w:val="0"/>
        <w:autoSpaceDN w:val="0"/>
        <w:adjustRightInd w:val="0"/>
        <w:spacing w:line="360" w:lineRule="auto"/>
        <w:ind w:left="1701"/>
        <w:jc w:val="both"/>
        <w:rPr>
          <w:rFonts w:ascii="Century Gothic" w:hAnsi="Century Gothic"/>
          <w:sz w:val="20"/>
          <w:szCs w:val="20"/>
        </w:rPr>
      </w:pPr>
      <w:r w:rsidRPr="007D24DB">
        <w:rPr>
          <w:rFonts w:ascii="Century Gothic" w:hAnsi="Century Gothic"/>
          <w:sz w:val="20"/>
          <w:szCs w:val="20"/>
        </w:rPr>
        <w:t>Metodología empleada, desglosada en los distintos elementos auditados.</w:t>
      </w:r>
    </w:p>
    <w:p w14:paraId="74D7FCD1" w14:textId="0413C9FC" w:rsidR="00963C50" w:rsidRPr="007D24DB" w:rsidRDefault="00963C50" w:rsidP="00423A9E">
      <w:pPr>
        <w:pStyle w:val="Prrafodelista"/>
        <w:numPr>
          <w:ilvl w:val="0"/>
          <w:numId w:val="20"/>
        </w:numPr>
        <w:autoSpaceDE w:val="0"/>
        <w:autoSpaceDN w:val="0"/>
        <w:adjustRightInd w:val="0"/>
        <w:spacing w:line="360" w:lineRule="auto"/>
        <w:ind w:left="1701"/>
        <w:jc w:val="both"/>
        <w:rPr>
          <w:rFonts w:ascii="Century Gothic" w:hAnsi="Century Gothic"/>
          <w:sz w:val="20"/>
          <w:szCs w:val="20"/>
        </w:rPr>
      </w:pPr>
      <w:r w:rsidRPr="007D24DB">
        <w:rPr>
          <w:rFonts w:ascii="Century Gothic" w:hAnsi="Century Gothic"/>
          <w:sz w:val="20"/>
          <w:szCs w:val="20"/>
        </w:rPr>
        <w:t>Resumen ejecutivo.</w:t>
      </w:r>
    </w:p>
    <w:p w14:paraId="26DC8FF1" w14:textId="6DA883DF" w:rsidR="00963C50" w:rsidRPr="006D038C" w:rsidRDefault="00963C50"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 </w:t>
      </w:r>
    </w:p>
    <w:p w14:paraId="33012A85" w14:textId="77777777" w:rsidR="007D24DB" w:rsidRDefault="00963C50"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Las auditorías energéticas deberán ser realizadas conforme a las normas UNE-EN 16247-1. </w:t>
      </w:r>
    </w:p>
    <w:p w14:paraId="10D9BABE" w14:textId="77777777" w:rsidR="007D24DB" w:rsidRDefault="00963C50"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Auditorías Energéticas. Parte 1: Requisitos Generales, UNE-EN 16247-2. </w:t>
      </w:r>
    </w:p>
    <w:p w14:paraId="555500FF" w14:textId="77777777" w:rsidR="007D24DB" w:rsidRDefault="00963C50"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Auditorías Energéticas. Parte 2: Edificios, UNE-EN 16247-3. </w:t>
      </w:r>
    </w:p>
    <w:p w14:paraId="55C27C36" w14:textId="77777777" w:rsidR="007D24DB" w:rsidRDefault="00963C50"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Auditorías Energéticas. Parte 3: Procesos y UNE-EN 16247- 4.</w:t>
      </w:r>
    </w:p>
    <w:p w14:paraId="768AC9F1" w14:textId="2123FBF6" w:rsidR="00963C50" w:rsidRDefault="00963C50"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 Auditorías Energéticas. Parte 4: Transporte, o, en su caso, sus sustituciones por futuras normas de requisitos de auditorías energéticas, autorizadas por el Ministerio con competencia en materia de energía. </w:t>
      </w:r>
    </w:p>
    <w:p w14:paraId="7C85C5C2" w14:textId="77777777" w:rsidR="007D24DB" w:rsidRPr="006D038C" w:rsidRDefault="007D24DB" w:rsidP="006D038C">
      <w:pPr>
        <w:autoSpaceDE w:val="0"/>
        <w:autoSpaceDN w:val="0"/>
        <w:adjustRightInd w:val="0"/>
        <w:spacing w:line="360" w:lineRule="auto"/>
        <w:jc w:val="both"/>
        <w:rPr>
          <w:rFonts w:ascii="Century Gothic" w:hAnsi="Century Gothic"/>
          <w:sz w:val="20"/>
          <w:szCs w:val="20"/>
        </w:rPr>
      </w:pPr>
    </w:p>
    <w:p w14:paraId="05E55CA7" w14:textId="77777777" w:rsidR="00963C50" w:rsidRPr="006D038C" w:rsidRDefault="00963C50" w:rsidP="006D038C">
      <w:pPr>
        <w:autoSpaceDE w:val="0"/>
        <w:autoSpaceDN w:val="0"/>
        <w:adjustRightInd w:val="0"/>
        <w:spacing w:line="360" w:lineRule="auto"/>
        <w:jc w:val="both"/>
        <w:rPr>
          <w:rFonts w:ascii="Century Gothic" w:hAnsi="Century Gothic"/>
          <w:sz w:val="20"/>
          <w:szCs w:val="20"/>
        </w:rPr>
      </w:pPr>
    </w:p>
    <w:p w14:paraId="42083EF2" w14:textId="61236198" w:rsidR="00963C50" w:rsidRPr="006D038C" w:rsidRDefault="00963C50"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lastRenderedPageBreak/>
        <w:t>Las auditorías energéticas se realizarán por auditores o auditoras energéticos debidamente cualificados, conforme a lo establecido por el Real Decreto 56/2016, de 12 de febrero, por el que se transpone la Directiva 2012/27/UE del Parlamento Europeo y del Consejo, de 25 de octubre de 2012, relativa a la eficiencia energética, en lo referente a auditorías energéticas, acreditación de proveedores de servicios y auditores energéticos y promoción de la eficiencia del suministro de energía y disposiciones de desarrollo del mismo, o norma que se dicte en su sustitución.</w:t>
      </w:r>
    </w:p>
    <w:p w14:paraId="2563E614" w14:textId="047E494A" w:rsidR="00C415C5" w:rsidRPr="006D038C" w:rsidRDefault="00C415C5" w:rsidP="006D038C">
      <w:pPr>
        <w:autoSpaceDE w:val="0"/>
        <w:autoSpaceDN w:val="0"/>
        <w:adjustRightInd w:val="0"/>
        <w:spacing w:line="360" w:lineRule="auto"/>
        <w:jc w:val="both"/>
        <w:rPr>
          <w:rFonts w:ascii="Century Gothic" w:hAnsi="Century Gothic"/>
          <w:sz w:val="20"/>
          <w:szCs w:val="20"/>
        </w:rPr>
      </w:pPr>
    </w:p>
    <w:p w14:paraId="51D663C0" w14:textId="1A5A52EB" w:rsidR="00C415C5" w:rsidRPr="006D038C" w:rsidRDefault="00C415C5"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En las auditorías energéticas se reflejarán los cálculos detallados y validados para las medidas propuestas, facilitando así una información clara sobre el potencial de ahorro. Los datos empleados en las auditorías energéticas deberán poderse almacenar para fines de análisis histórico y trazabilidad del comportamiento energético. </w:t>
      </w:r>
    </w:p>
    <w:p w14:paraId="162BC1D0" w14:textId="77777777" w:rsidR="00C415C5" w:rsidRPr="006D038C" w:rsidRDefault="00C415C5" w:rsidP="006D038C">
      <w:pPr>
        <w:autoSpaceDE w:val="0"/>
        <w:autoSpaceDN w:val="0"/>
        <w:adjustRightInd w:val="0"/>
        <w:spacing w:line="360" w:lineRule="auto"/>
        <w:jc w:val="both"/>
        <w:rPr>
          <w:rFonts w:ascii="Century Gothic" w:hAnsi="Century Gothic"/>
          <w:sz w:val="20"/>
          <w:szCs w:val="20"/>
        </w:rPr>
      </w:pPr>
    </w:p>
    <w:p w14:paraId="7BCE3BF3" w14:textId="27B70422" w:rsidR="00C415C5" w:rsidRPr="006D038C" w:rsidRDefault="00C415C5"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Las auditorías energéticas no contendrán cláusulas que impidan transmitir las conclusiones de la auditoría a empresas proveedoras de servicios energéticos cualificadas y acreditadas, debiendo respetarse en todo caso, la confidencialidad de la información.</w:t>
      </w:r>
    </w:p>
    <w:p w14:paraId="33264F57" w14:textId="5FBE7EEA" w:rsidR="00C415C5" w:rsidRPr="006D038C" w:rsidRDefault="00C415C5" w:rsidP="006D038C">
      <w:pPr>
        <w:autoSpaceDE w:val="0"/>
        <w:autoSpaceDN w:val="0"/>
        <w:adjustRightInd w:val="0"/>
        <w:spacing w:line="360" w:lineRule="auto"/>
        <w:jc w:val="both"/>
        <w:rPr>
          <w:rFonts w:ascii="Century Gothic" w:hAnsi="Century Gothic"/>
          <w:sz w:val="20"/>
          <w:szCs w:val="20"/>
        </w:rPr>
      </w:pPr>
    </w:p>
    <w:p w14:paraId="2A17CDB2" w14:textId="7FD35056" w:rsidR="00C415C5" w:rsidRPr="006D038C" w:rsidRDefault="00C415C5" w:rsidP="006D038C">
      <w:pPr>
        <w:autoSpaceDE w:val="0"/>
        <w:autoSpaceDN w:val="0"/>
        <w:adjustRightInd w:val="0"/>
        <w:spacing w:line="360" w:lineRule="auto"/>
        <w:jc w:val="both"/>
        <w:rPr>
          <w:rFonts w:ascii="Century Gothic" w:hAnsi="Century Gothic"/>
          <w:b/>
          <w:bCs/>
          <w:sz w:val="20"/>
          <w:szCs w:val="20"/>
          <w:u w:val="single"/>
        </w:rPr>
      </w:pPr>
      <w:r w:rsidRPr="006D038C">
        <w:rPr>
          <w:rFonts w:ascii="Century Gothic" w:hAnsi="Century Gothic"/>
          <w:b/>
          <w:bCs/>
          <w:sz w:val="20"/>
          <w:szCs w:val="20"/>
          <w:u w:val="single"/>
        </w:rPr>
        <w:t>Sistema de monitorización de los consumos energéticos</w:t>
      </w:r>
    </w:p>
    <w:p w14:paraId="68BDEEA6" w14:textId="59793670" w:rsidR="00141B1B" w:rsidRPr="006D038C" w:rsidRDefault="00141B1B" w:rsidP="006D038C">
      <w:pPr>
        <w:autoSpaceDE w:val="0"/>
        <w:autoSpaceDN w:val="0"/>
        <w:adjustRightInd w:val="0"/>
        <w:spacing w:line="360" w:lineRule="auto"/>
        <w:jc w:val="both"/>
        <w:rPr>
          <w:rFonts w:ascii="Century Gothic" w:hAnsi="Century Gothic"/>
          <w:b/>
          <w:bCs/>
          <w:sz w:val="20"/>
          <w:szCs w:val="20"/>
          <w:u w:val="single"/>
        </w:rPr>
      </w:pPr>
    </w:p>
    <w:p w14:paraId="2A8A2AE7" w14:textId="77777777" w:rsidR="00141B1B" w:rsidRPr="006D038C" w:rsidRDefault="00141B1B"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Se deberá habilitar un sistema de monitorización de todos los consumos energéticos municipales a través de una plataforma web a la que se tendrá acceso específico por parte del personal técnico municipal, así como de la corporación, habilitando para ello usuario y contraseña de acceso a dicha plataforma. </w:t>
      </w:r>
    </w:p>
    <w:p w14:paraId="1A2A4241" w14:textId="119CA767" w:rsidR="00141B1B" w:rsidRPr="006D038C" w:rsidRDefault="00141B1B"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La plataforma habilitada para el seguimiento y los consumos deberá permitir cumplir con las exigencias establecidas en la Ley 04/2019 de Sostenibilidad energéticas en lo relativo al seguimiento de los consumos energéticos, estableciendo para ello, al menos las siguientes posibilidades:</w:t>
      </w:r>
    </w:p>
    <w:p w14:paraId="44AD5618" w14:textId="77777777" w:rsidR="00437B95" w:rsidRPr="006D038C" w:rsidRDefault="00437B95" w:rsidP="006D038C">
      <w:pPr>
        <w:autoSpaceDE w:val="0"/>
        <w:autoSpaceDN w:val="0"/>
        <w:adjustRightInd w:val="0"/>
        <w:spacing w:line="360" w:lineRule="auto"/>
        <w:rPr>
          <w:rFonts w:ascii="Century Gothic" w:eastAsiaTheme="minorHAnsi" w:hAnsi="Century Gothic" w:cs="Symbol"/>
          <w:color w:val="000000"/>
          <w:sz w:val="20"/>
          <w:szCs w:val="20"/>
          <w:lang w:eastAsia="en-US"/>
        </w:rPr>
      </w:pPr>
    </w:p>
    <w:p w14:paraId="48CCB368" w14:textId="12476E6C" w:rsidR="00437B95" w:rsidRPr="006D038C" w:rsidRDefault="00437B95" w:rsidP="006D038C">
      <w:pPr>
        <w:pStyle w:val="Prrafodelista"/>
        <w:numPr>
          <w:ilvl w:val="0"/>
          <w:numId w:val="4"/>
        </w:num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Determinar el nivel base de referencia del consumo energético global sobre el que deben aplicarse los ahorros de energía y las mejoras de eficiencia energética establecidos por la Ley 4/2019. </w:t>
      </w:r>
    </w:p>
    <w:p w14:paraId="700B6AB4" w14:textId="6E65F035" w:rsidR="00437B95" w:rsidRPr="006D038C" w:rsidRDefault="00437B95" w:rsidP="006D038C">
      <w:pPr>
        <w:pStyle w:val="Prrafodelista"/>
        <w:numPr>
          <w:ilvl w:val="0"/>
          <w:numId w:val="4"/>
        </w:num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Realizar y mantener actualizado el inventario de edificios y partes de los mismos, instalaciones, AP y</w:t>
      </w:r>
      <w:r w:rsidR="00BF5176">
        <w:rPr>
          <w:rFonts w:ascii="Century Gothic" w:hAnsi="Century Gothic"/>
          <w:sz w:val="20"/>
          <w:szCs w:val="20"/>
        </w:rPr>
        <w:t xml:space="preserve"> parque móvil.</w:t>
      </w:r>
    </w:p>
    <w:p w14:paraId="01097800" w14:textId="0614C2C6" w:rsidR="00437B95" w:rsidRPr="006D038C" w:rsidRDefault="00437B95" w:rsidP="006D038C">
      <w:pPr>
        <w:pStyle w:val="Prrafodelista"/>
        <w:numPr>
          <w:ilvl w:val="0"/>
          <w:numId w:val="4"/>
        </w:num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lastRenderedPageBreak/>
        <w:t xml:space="preserve">Descargar el informe anual de seguimiento del consumo energético que se deberá presentar en la plataforma habilitada por el GV. </w:t>
      </w:r>
    </w:p>
    <w:p w14:paraId="634D4E2C" w14:textId="191613FE" w:rsidR="00437B95" w:rsidRPr="006D038C" w:rsidRDefault="00437B95" w:rsidP="006D038C">
      <w:pPr>
        <w:pStyle w:val="Prrafodelista"/>
        <w:numPr>
          <w:ilvl w:val="0"/>
          <w:numId w:val="4"/>
        </w:num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Tener acceso a los datos de consumo energético públicos a tiempo real y de forma sencilla y ágil, así como a los datos de producción de instalaciones de fuentes renovables. </w:t>
      </w:r>
    </w:p>
    <w:p w14:paraId="27BCD457" w14:textId="3401B5BB" w:rsidR="00437B95" w:rsidRPr="006D038C" w:rsidRDefault="00437B95" w:rsidP="006D038C">
      <w:pPr>
        <w:pStyle w:val="Prrafodelista"/>
        <w:numPr>
          <w:ilvl w:val="0"/>
          <w:numId w:val="4"/>
        </w:num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El sistema deberá incorporar datos relativos a los ahorros energéticos producidos por las actuaciones que se lleven a cabo, tanto en términos energéticos como económicos. </w:t>
      </w:r>
    </w:p>
    <w:p w14:paraId="691AC74F" w14:textId="7AAA2F64" w:rsidR="00437B95" w:rsidRPr="006D038C" w:rsidRDefault="00437B95" w:rsidP="006D038C">
      <w:pPr>
        <w:pStyle w:val="Prrafodelista"/>
        <w:numPr>
          <w:ilvl w:val="0"/>
          <w:numId w:val="4"/>
        </w:num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El sistema deberá poder permitir descargar de forma sencilla y ágil los informes correspondientes en los formatos exigidos por el Gobierno Vasco para poder remitir periódicamente la información exigida por la Ley 04/2019. </w:t>
      </w:r>
    </w:p>
    <w:p w14:paraId="7E677F9D" w14:textId="0202F1AD" w:rsidR="00437B95" w:rsidRPr="006D038C" w:rsidRDefault="00437B95" w:rsidP="006D038C">
      <w:pPr>
        <w:autoSpaceDE w:val="0"/>
        <w:autoSpaceDN w:val="0"/>
        <w:adjustRightInd w:val="0"/>
        <w:spacing w:line="360" w:lineRule="auto"/>
        <w:jc w:val="both"/>
        <w:rPr>
          <w:rFonts w:ascii="Century Gothic" w:hAnsi="Century Gothic"/>
          <w:sz w:val="20"/>
          <w:szCs w:val="20"/>
        </w:rPr>
      </w:pPr>
    </w:p>
    <w:p w14:paraId="28250A45" w14:textId="2D80B4BB" w:rsidR="00740303" w:rsidRPr="006D038C" w:rsidRDefault="00740303"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De cara a poder valorar de forma óptima la realización de estos trabajos, se aporta la siguiente información: </w:t>
      </w:r>
    </w:p>
    <w:p w14:paraId="28ACD158" w14:textId="77777777" w:rsidR="00740303" w:rsidRPr="006D038C" w:rsidRDefault="00740303" w:rsidP="006D038C">
      <w:pPr>
        <w:autoSpaceDE w:val="0"/>
        <w:autoSpaceDN w:val="0"/>
        <w:adjustRightInd w:val="0"/>
        <w:spacing w:line="360" w:lineRule="auto"/>
        <w:jc w:val="both"/>
        <w:rPr>
          <w:rFonts w:ascii="Century Gothic" w:hAnsi="Century Gothic"/>
          <w:sz w:val="20"/>
          <w:szCs w:val="20"/>
        </w:rPr>
      </w:pPr>
    </w:p>
    <w:p w14:paraId="3007C0DA" w14:textId="7028DC5F" w:rsidR="00740303" w:rsidRPr="006D038C" w:rsidRDefault="00740303"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1. Relación de contratos de suministro de energía eléctrica del Ayto: </w:t>
      </w:r>
    </w:p>
    <w:p w14:paraId="347E3620" w14:textId="6DC67AE8" w:rsidR="00740303" w:rsidRPr="006D038C" w:rsidRDefault="00740303"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Anexo I:  Se adjunta tabla Excel con la relación de contratos de suministro de energía eléctrica. </w:t>
      </w:r>
    </w:p>
    <w:p w14:paraId="0D686F9F" w14:textId="77777777" w:rsidR="00740303" w:rsidRPr="006D038C" w:rsidRDefault="00740303" w:rsidP="006D038C">
      <w:pPr>
        <w:autoSpaceDE w:val="0"/>
        <w:autoSpaceDN w:val="0"/>
        <w:adjustRightInd w:val="0"/>
        <w:spacing w:line="360" w:lineRule="auto"/>
        <w:jc w:val="both"/>
        <w:rPr>
          <w:rFonts w:ascii="Century Gothic" w:hAnsi="Century Gothic"/>
          <w:sz w:val="20"/>
          <w:szCs w:val="20"/>
        </w:rPr>
      </w:pPr>
    </w:p>
    <w:p w14:paraId="45FE344B" w14:textId="0A5178AD" w:rsidR="00437B95" w:rsidRPr="006D038C" w:rsidRDefault="00740303"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2. Relación de edificios de titularidad municipal a incluir en el alcance de los trabajos:</w:t>
      </w:r>
    </w:p>
    <w:p w14:paraId="0147AFB1" w14:textId="362BC655" w:rsidR="00740303" w:rsidRPr="006D038C" w:rsidRDefault="00740303" w:rsidP="006D038C">
      <w:pPr>
        <w:autoSpaceDE w:val="0"/>
        <w:autoSpaceDN w:val="0"/>
        <w:adjustRightInd w:val="0"/>
        <w:spacing w:line="360" w:lineRule="auto"/>
        <w:jc w:val="both"/>
        <w:rPr>
          <w:rFonts w:ascii="Century Gothic" w:hAnsi="Century Gothic"/>
          <w:sz w:val="20"/>
          <w:szCs w:val="20"/>
        </w:rPr>
      </w:pPr>
    </w:p>
    <w:tbl>
      <w:tblPr>
        <w:tblStyle w:val="Tablaconcuadrcula"/>
        <w:tblW w:w="0" w:type="auto"/>
        <w:tblLook w:val="04A0" w:firstRow="1" w:lastRow="0" w:firstColumn="1" w:lastColumn="0" w:noHBand="0" w:noVBand="1"/>
      </w:tblPr>
      <w:tblGrid>
        <w:gridCol w:w="1761"/>
        <w:gridCol w:w="1688"/>
        <w:gridCol w:w="1685"/>
        <w:gridCol w:w="1671"/>
        <w:gridCol w:w="1689"/>
      </w:tblGrid>
      <w:tr w:rsidR="00740303" w:rsidRPr="006D038C" w14:paraId="3CFFADA4" w14:textId="77777777" w:rsidTr="00740303">
        <w:tc>
          <w:tcPr>
            <w:tcW w:w="1698" w:type="dxa"/>
          </w:tcPr>
          <w:p w14:paraId="3DE31CFE" w14:textId="23D214E3" w:rsidR="00740303" w:rsidRPr="006D038C" w:rsidRDefault="00740303" w:rsidP="006D038C">
            <w:pPr>
              <w:autoSpaceDE w:val="0"/>
              <w:autoSpaceDN w:val="0"/>
              <w:adjustRightInd w:val="0"/>
              <w:spacing w:line="360" w:lineRule="auto"/>
              <w:jc w:val="center"/>
              <w:rPr>
                <w:rFonts w:ascii="Century Gothic" w:hAnsi="Century Gothic"/>
                <w:b/>
                <w:bCs/>
                <w:sz w:val="20"/>
                <w:szCs w:val="20"/>
              </w:rPr>
            </w:pPr>
            <w:r w:rsidRPr="006D038C">
              <w:rPr>
                <w:rFonts w:ascii="Century Gothic" w:hAnsi="Century Gothic"/>
                <w:b/>
                <w:bCs/>
                <w:sz w:val="20"/>
                <w:szCs w:val="20"/>
              </w:rPr>
              <w:t>NOMBRE</w:t>
            </w:r>
          </w:p>
        </w:tc>
        <w:tc>
          <w:tcPr>
            <w:tcW w:w="1699" w:type="dxa"/>
          </w:tcPr>
          <w:p w14:paraId="4CDC0FAB" w14:textId="369C830E" w:rsidR="00740303" w:rsidRPr="006D038C" w:rsidRDefault="00740303" w:rsidP="006D038C">
            <w:pPr>
              <w:autoSpaceDE w:val="0"/>
              <w:autoSpaceDN w:val="0"/>
              <w:adjustRightInd w:val="0"/>
              <w:spacing w:line="360" w:lineRule="auto"/>
              <w:jc w:val="center"/>
              <w:rPr>
                <w:rFonts w:ascii="Century Gothic" w:hAnsi="Century Gothic"/>
                <w:b/>
                <w:bCs/>
                <w:sz w:val="20"/>
                <w:szCs w:val="20"/>
              </w:rPr>
            </w:pPr>
            <w:r w:rsidRPr="006D038C">
              <w:rPr>
                <w:rFonts w:ascii="Century Gothic" w:hAnsi="Century Gothic"/>
                <w:b/>
                <w:bCs/>
                <w:sz w:val="20"/>
                <w:szCs w:val="20"/>
              </w:rPr>
              <w:t>UBICACIÓN</w:t>
            </w:r>
          </w:p>
        </w:tc>
        <w:tc>
          <w:tcPr>
            <w:tcW w:w="1699" w:type="dxa"/>
          </w:tcPr>
          <w:p w14:paraId="3151F355" w14:textId="57C56262" w:rsidR="00740303" w:rsidRPr="006D038C" w:rsidRDefault="00740303" w:rsidP="006D038C">
            <w:pPr>
              <w:autoSpaceDE w:val="0"/>
              <w:autoSpaceDN w:val="0"/>
              <w:adjustRightInd w:val="0"/>
              <w:spacing w:line="360" w:lineRule="auto"/>
              <w:jc w:val="center"/>
              <w:rPr>
                <w:rFonts w:ascii="Century Gothic" w:hAnsi="Century Gothic"/>
                <w:b/>
                <w:bCs/>
                <w:sz w:val="20"/>
                <w:szCs w:val="20"/>
              </w:rPr>
            </w:pPr>
            <w:r w:rsidRPr="006D038C">
              <w:rPr>
                <w:rFonts w:ascii="Century Gothic" w:hAnsi="Century Gothic"/>
                <w:b/>
                <w:bCs/>
                <w:sz w:val="20"/>
                <w:szCs w:val="20"/>
              </w:rPr>
              <w:t>USO</w:t>
            </w:r>
          </w:p>
        </w:tc>
        <w:tc>
          <w:tcPr>
            <w:tcW w:w="1699" w:type="dxa"/>
          </w:tcPr>
          <w:p w14:paraId="2FF0C00C" w14:textId="39A3E628" w:rsidR="00740303" w:rsidRPr="006D038C" w:rsidRDefault="00F0104D" w:rsidP="006D038C">
            <w:pPr>
              <w:autoSpaceDE w:val="0"/>
              <w:autoSpaceDN w:val="0"/>
              <w:adjustRightInd w:val="0"/>
              <w:spacing w:line="360" w:lineRule="auto"/>
              <w:jc w:val="center"/>
              <w:rPr>
                <w:rFonts w:ascii="Century Gothic" w:hAnsi="Century Gothic"/>
                <w:b/>
                <w:bCs/>
                <w:sz w:val="20"/>
                <w:szCs w:val="20"/>
              </w:rPr>
            </w:pPr>
            <w:r w:rsidRPr="006D038C">
              <w:rPr>
                <w:rFonts w:ascii="Century Gothic" w:hAnsi="Century Gothic"/>
                <w:b/>
                <w:bCs/>
                <w:sz w:val="20"/>
                <w:szCs w:val="20"/>
              </w:rPr>
              <w:t>FUENTE ENERGÍA TÉRMICA</w:t>
            </w:r>
          </w:p>
        </w:tc>
        <w:tc>
          <w:tcPr>
            <w:tcW w:w="1699" w:type="dxa"/>
          </w:tcPr>
          <w:p w14:paraId="420460BB" w14:textId="686D8D90" w:rsidR="00740303" w:rsidRPr="006D038C" w:rsidRDefault="00F0104D" w:rsidP="006D038C">
            <w:pPr>
              <w:autoSpaceDE w:val="0"/>
              <w:autoSpaceDN w:val="0"/>
              <w:adjustRightInd w:val="0"/>
              <w:spacing w:line="360" w:lineRule="auto"/>
              <w:jc w:val="center"/>
              <w:rPr>
                <w:rFonts w:ascii="Century Gothic" w:hAnsi="Century Gothic"/>
                <w:b/>
                <w:bCs/>
                <w:sz w:val="20"/>
                <w:szCs w:val="20"/>
              </w:rPr>
            </w:pPr>
            <w:r w:rsidRPr="006D038C">
              <w:rPr>
                <w:rFonts w:ascii="Century Gothic" w:hAnsi="Century Gothic"/>
                <w:b/>
                <w:bCs/>
                <w:sz w:val="20"/>
                <w:szCs w:val="20"/>
              </w:rPr>
              <w:t>SUPERFICIE CONSTRUIDA (m</w:t>
            </w:r>
            <w:r w:rsidRPr="006D038C">
              <w:rPr>
                <w:rFonts w:ascii="Century Gothic" w:hAnsi="Century Gothic"/>
                <w:b/>
                <w:bCs/>
                <w:sz w:val="20"/>
                <w:szCs w:val="20"/>
                <w:vertAlign w:val="superscript"/>
              </w:rPr>
              <w:t>2</w:t>
            </w:r>
            <w:r w:rsidRPr="006D038C">
              <w:rPr>
                <w:rFonts w:ascii="Century Gothic" w:hAnsi="Century Gothic"/>
                <w:b/>
                <w:bCs/>
                <w:sz w:val="20"/>
                <w:szCs w:val="20"/>
              </w:rPr>
              <w:t>)</w:t>
            </w:r>
          </w:p>
        </w:tc>
      </w:tr>
      <w:tr w:rsidR="00F0104D" w:rsidRPr="006D038C" w14:paraId="7CDDFD33" w14:textId="77777777" w:rsidTr="00740303">
        <w:tc>
          <w:tcPr>
            <w:tcW w:w="1698" w:type="dxa"/>
          </w:tcPr>
          <w:p w14:paraId="37B53FE6" w14:textId="6B471B12"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UDALETXEA </w:t>
            </w:r>
          </w:p>
        </w:tc>
        <w:tc>
          <w:tcPr>
            <w:tcW w:w="1699" w:type="dxa"/>
          </w:tcPr>
          <w:p w14:paraId="3F6133CB" w14:textId="21E663D9"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C/ Carmen 10 </w:t>
            </w:r>
          </w:p>
        </w:tc>
        <w:tc>
          <w:tcPr>
            <w:tcW w:w="1699" w:type="dxa"/>
          </w:tcPr>
          <w:p w14:paraId="0F0CD967" w14:textId="0F0100DC"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Oficinas municipales </w:t>
            </w:r>
          </w:p>
        </w:tc>
        <w:tc>
          <w:tcPr>
            <w:tcW w:w="1699" w:type="dxa"/>
          </w:tcPr>
          <w:p w14:paraId="7AFCF20C" w14:textId="449CA6AE"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Gas Natural </w:t>
            </w:r>
          </w:p>
        </w:tc>
        <w:tc>
          <w:tcPr>
            <w:tcW w:w="1699" w:type="dxa"/>
          </w:tcPr>
          <w:p w14:paraId="54DEA7F3" w14:textId="348AAFE5" w:rsidR="00F0104D" w:rsidRPr="006D038C" w:rsidRDefault="00F0104D" w:rsidP="006D038C">
            <w:pPr>
              <w:autoSpaceDE w:val="0"/>
              <w:autoSpaceDN w:val="0"/>
              <w:adjustRightInd w:val="0"/>
              <w:spacing w:line="360" w:lineRule="auto"/>
              <w:jc w:val="center"/>
              <w:rPr>
                <w:rFonts w:ascii="Century Gothic" w:hAnsi="Century Gothic"/>
                <w:sz w:val="20"/>
                <w:szCs w:val="20"/>
              </w:rPr>
            </w:pPr>
            <w:r w:rsidRPr="006D038C">
              <w:rPr>
                <w:rFonts w:ascii="Century Gothic" w:hAnsi="Century Gothic"/>
                <w:sz w:val="20"/>
                <w:szCs w:val="20"/>
              </w:rPr>
              <w:t>661</w:t>
            </w:r>
          </w:p>
        </w:tc>
      </w:tr>
      <w:tr w:rsidR="00F0104D" w:rsidRPr="006D038C" w14:paraId="4628DE27" w14:textId="77777777" w:rsidTr="00740303">
        <w:tc>
          <w:tcPr>
            <w:tcW w:w="1698" w:type="dxa"/>
          </w:tcPr>
          <w:p w14:paraId="6B478B41" w14:textId="1DC80097"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KULTURA ETXEA </w:t>
            </w:r>
          </w:p>
        </w:tc>
        <w:tc>
          <w:tcPr>
            <w:tcW w:w="1699" w:type="dxa"/>
          </w:tcPr>
          <w:p w14:paraId="32B63506" w14:textId="1CCB523C"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Ortiz de Zarate </w:t>
            </w:r>
            <w:proofErr w:type="spellStart"/>
            <w:r w:rsidRPr="006D038C">
              <w:rPr>
                <w:rFonts w:ascii="Century Gothic" w:hAnsi="Century Gothic"/>
                <w:sz w:val="20"/>
                <w:szCs w:val="20"/>
              </w:rPr>
              <w:t>enparatza</w:t>
            </w:r>
            <w:proofErr w:type="spellEnd"/>
            <w:r w:rsidRPr="006D038C">
              <w:rPr>
                <w:rFonts w:ascii="Century Gothic" w:hAnsi="Century Gothic"/>
                <w:sz w:val="20"/>
                <w:szCs w:val="20"/>
              </w:rPr>
              <w:t xml:space="preserve"> </w:t>
            </w:r>
          </w:p>
        </w:tc>
        <w:tc>
          <w:tcPr>
            <w:tcW w:w="1699" w:type="dxa"/>
          </w:tcPr>
          <w:p w14:paraId="131CFD20" w14:textId="3F1E962C"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Usos socio culturales </w:t>
            </w:r>
          </w:p>
        </w:tc>
        <w:tc>
          <w:tcPr>
            <w:tcW w:w="1699" w:type="dxa"/>
          </w:tcPr>
          <w:p w14:paraId="5A277536" w14:textId="1373EFAD"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Gas Natural </w:t>
            </w:r>
          </w:p>
        </w:tc>
        <w:tc>
          <w:tcPr>
            <w:tcW w:w="1699" w:type="dxa"/>
          </w:tcPr>
          <w:p w14:paraId="36C8887C" w14:textId="478AB1F8" w:rsidR="00F0104D" w:rsidRPr="006D038C" w:rsidRDefault="00F0104D" w:rsidP="006D038C">
            <w:pPr>
              <w:autoSpaceDE w:val="0"/>
              <w:autoSpaceDN w:val="0"/>
              <w:adjustRightInd w:val="0"/>
              <w:spacing w:line="360" w:lineRule="auto"/>
              <w:jc w:val="center"/>
              <w:rPr>
                <w:rFonts w:ascii="Century Gothic" w:hAnsi="Century Gothic"/>
                <w:sz w:val="20"/>
                <w:szCs w:val="20"/>
              </w:rPr>
            </w:pPr>
            <w:r w:rsidRPr="006D038C">
              <w:rPr>
                <w:rFonts w:ascii="Century Gothic" w:hAnsi="Century Gothic"/>
                <w:sz w:val="20"/>
                <w:szCs w:val="20"/>
              </w:rPr>
              <w:t>873</w:t>
            </w:r>
          </w:p>
        </w:tc>
      </w:tr>
      <w:tr w:rsidR="00F0104D" w:rsidRPr="006D038C" w14:paraId="5F344378" w14:textId="77777777" w:rsidTr="00740303">
        <w:tc>
          <w:tcPr>
            <w:tcW w:w="1698" w:type="dxa"/>
          </w:tcPr>
          <w:p w14:paraId="28DF6798" w14:textId="64CACCC2"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IKASTOLA GARAZI </w:t>
            </w:r>
          </w:p>
        </w:tc>
        <w:tc>
          <w:tcPr>
            <w:tcW w:w="1699" w:type="dxa"/>
          </w:tcPr>
          <w:p w14:paraId="1D95FB80" w14:textId="531E2251"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C/ Santa Engracia </w:t>
            </w:r>
          </w:p>
        </w:tc>
        <w:tc>
          <w:tcPr>
            <w:tcW w:w="1699" w:type="dxa"/>
          </w:tcPr>
          <w:p w14:paraId="1DDE29B4" w14:textId="46175039"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Uso educativo </w:t>
            </w:r>
          </w:p>
        </w:tc>
        <w:tc>
          <w:tcPr>
            <w:tcW w:w="1699" w:type="dxa"/>
          </w:tcPr>
          <w:p w14:paraId="6EF2ADD0" w14:textId="076D6989"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Gas Natural </w:t>
            </w:r>
          </w:p>
        </w:tc>
        <w:tc>
          <w:tcPr>
            <w:tcW w:w="1699" w:type="dxa"/>
          </w:tcPr>
          <w:p w14:paraId="6F02F314" w14:textId="2EDA3F67" w:rsidR="00F0104D" w:rsidRPr="006D038C" w:rsidRDefault="00F0104D" w:rsidP="006D038C">
            <w:pPr>
              <w:autoSpaceDE w:val="0"/>
              <w:autoSpaceDN w:val="0"/>
              <w:adjustRightInd w:val="0"/>
              <w:spacing w:line="360" w:lineRule="auto"/>
              <w:jc w:val="center"/>
              <w:rPr>
                <w:rFonts w:ascii="Century Gothic" w:hAnsi="Century Gothic"/>
                <w:sz w:val="20"/>
                <w:szCs w:val="20"/>
              </w:rPr>
            </w:pPr>
            <w:r w:rsidRPr="006D038C">
              <w:rPr>
                <w:rFonts w:ascii="Century Gothic" w:hAnsi="Century Gothic"/>
                <w:sz w:val="20"/>
                <w:szCs w:val="20"/>
              </w:rPr>
              <w:t>1.460</w:t>
            </w:r>
          </w:p>
        </w:tc>
      </w:tr>
      <w:tr w:rsidR="00F0104D" w:rsidRPr="006D038C" w14:paraId="41484719" w14:textId="77777777" w:rsidTr="00740303">
        <w:tc>
          <w:tcPr>
            <w:tcW w:w="1698" w:type="dxa"/>
          </w:tcPr>
          <w:p w14:paraId="730D4083" w14:textId="57D59CDE"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SALA POLIVALENTE ELIXOSTE </w:t>
            </w:r>
          </w:p>
        </w:tc>
        <w:tc>
          <w:tcPr>
            <w:tcW w:w="1699" w:type="dxa"/>
          </w:tcPr>
          <w:p w14:paraId="5E70CD56" w14:textId="38EFD487" w:rsidR="00F0104D" w:rsidRPr="006D038C" w:rsidRDefault="00F0104D" w:rsidP="006D038C">
            <w:pPr>
              <w:autoSpaceDE w:val="0"/>
              <w:autoSpaceDN w:val="0"/>
              <w:adjustRightInd w:val="0"/>
              <w:spacing w:line="360" w:lineRule="auto"/>
              <w:jc w:val="both"/>
              <w:rPr>
                <w:rFonts w:ascii="Century Gothic" w:hAnsi="Century Gothic"/>
                <w:sz w:val="20"/>
                <w:szCs w:val="20"/>
              </w:rPr>
            </w:pPr>
            <w:proofErr w:type="spellStart"/>
            <w:r w:rsidRPr="006D038C">
              <w:rPr>
                <w:rFonts w:ascii="Century Gothic" w:hAnsi="Century Gothic"/>
                <w:sz w:val="20"/>
                <w:szCs w:val="20"/>
              </w:rPr>
              <w:t>Elixoste</w:t>
            </w:r>
            <w:proofErr w:type="spellEnd"/>
            <w:r w:rsidRPr="006D038C">
              <w:rPr>
                <w:rFonts w:ascii="Century Gothic" w:hAnsi="Century Gothic"/>
                <w:sz w:val="20"/>
                <w:szCs w:val="20"/>
              </w:rPr>
              <w:t xml:space="preserve"> </w:t>
            </w:r>
          </w:p>
        </w:tc>
        <w:tc>
          <w:tcPr>
            <w:tcW w:w="1699" w:type="dxa"/>
          </w:tcPr>
          <w:p w14:paraId="28823DE0" w14:textId="63B91DC0"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Uso social </w:t>
            </w:r>
          </w:p>
        </w:tc>
        <w:tc>
          <w:tcPr>
            <w:tcW w:w="1699" w:type="dxa"/>
          </w:tcPr>
          <w:p w14:paraId="278C87DA" w14:textId="4FB73F5E"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Gas Natural </w:t>
            </w:r>
          </w:p>
        </w:tc>
        <w:tc>
          <w:tcPr>
            <w:tcW w:w="1699" w:type="dxa"/>
          </w:tcPr>
          <w:p w14:paraId="554488FD" w14:textId="05BF10C3" w:rsidR="00F0104D" w:rsidRPr="006D038C" w:rsidRDefault="00F0104D" w:rsidP="006D038C">
            <w:pPr>
              <w:autoSpaceDE w:val="0"/>
              <w:autoSpaceDN w:val="0"/>
              <w:adjustRightInd w:val="0"/>
              <w:spacing w:line="360" w:lineRule="auto"/>
              <w:jc w:val="center"/>
              <w:rPr>
                <w:rFonts w:ascii="Century Gothic" w:hAnsi="Century Gothic"/>
                <w:sz w:val="20"/>
                <w:szCs w:val="20"/>
              </w:rPr>
            </w:pPr>
            <w:r w:rsidRPr="006D038C">
              <w:rPr>
                <w:rFonts w:ascii="Century Gothic" w:hAnsi="Century Gothic"/>
                <w:sz w:val="20"/>
                <w:szCs w:val="20"/>
              </w:rPr>
              <w:t>183</w:t>
            </w:r>
          </w:p>
        </w:tc>
      </w:tr>
      <w:tr w:rsidR="00F0104D" w:rsidRPr="006D038C" w14:paraId="5507B043" w14:textId="77777777" w:rsidTr="00740303">
        <w:tc>
          <w:tcPr>
            <w:tcW w:w="1698" w:type="dxa"/>
          </w:tcPr>
          <w:p w14:paraId="0CDC6739" w14:textId="54E1A531"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Club Jubilados </w:t>
            </w:r>
          </w:p>
        </w:tc>
        <w:tc>
          <w:tcPr>
            <w:tcW w:w="1699" w:type="dxa"/>
          </w:tcPr>
          <w:p w14:paraId="7E70A0B6" w14:textId="6F8B3C30"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Calle </w:t>
            </w:r>
            <w:proofErr w:type="spellStart"/>
            <w:r w:rsidRPr="006D038C">
              <w:rPr>
                <w:rFonts w:ascii="Century Gothic" w:hAnsi="Century Gothic"/>
                <w:sz w:val="20"/>
                <w:szCs w:val="20"/>
              </w:rPr>
              <w:t>Beheko</w:t>
            </w:r>
            <w:proofErr w:type="spellEnd"/>
            <w:r w:rsidRPr="006D038C">
              <w:rPr>
                <w:rFonts w:ascii="Century Gothic" w:hAnsi="Century Gothic"/>
                <w:sz w:val="20"/>
                <w:szCs w:val="20"/>
              </w:rPr>
              <w:t xml:space="preserve">, 2 </w:t>
            </w:r>
          </w:p>
        </w:tc>
        <w:tc>
          <w:tcPr>
            <w:tcW w:w="1699" w:type="dxa"/>
          </w:tcPr>
          <w:p w14:paraId="41D2705C" w14:textId="4B90F326"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Uso social </w:t>
            </w:r>
          </w:p>
        </w:tc>
        <w:tc>
          <w:tcPr>
            <w:tcW w:w="1699" w:type="dxa"/>
          </w:tcPr>
          <w:p w14:paraId="412D5835" w14:textId="12CCE06F"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Gas Natural </w:t>
            </w:r>
          </w:p>
        </w:tc>
        <w:tc>
          <w:tcPr>
            <w:tcW w:w="1699" w:type="dxa"/>
          </w:tcPr>
          <w:p w14:paraId="039DBA7B" w14:textId="0DF2C11D" w:rsidR="00F0104D" w:rsidRPr="006D038C" w:rsidRDefault="00F0104D" w:rsidP="006D038C">
            <w:pPr>
              <w:autoSpaceDE w:val="0"/>
              <w:autoSpaceDN w:val="0"/>
              <w:adjustRightInd w:val="0"/>
              <w:spacing w:line="360" w:lineRule="auto"/>
              <w:jc w:val="center"/>
              <w:rPr>
                <w:rFonts w:ascii="Century Gothic" w:hAnsi="Century Gothic"/>
                <w:sz w:val="20"/>
                <w:szCs w:val="20"/>
              </w:rPr>
            </w:pPr>
            <w:r w:rsidRPr="006D038C">
              <w:rPr>
                <w:rFonts w:ascii="Century Gothic" w:hAnsi="Century Gothic"/>
                <w:sz w:val="20"/>
                <w:szCs w:val="20"/>
              </w:rPr>
              <w:t>255</w:t>
            </w:r>
          </w:p>
        </w:tc>
      </w:tr>
      <w:tr w:rsidR="00F0104D" w:rsidRPr="006D038C" w14:paraId="010AE839" w14:textId="77777777" w:rsidTr="00740303">
        <w:tc>
          <w:tcPr>
            <w:tcW w:w="1698" w:type="dxa"/>
          </w:tcPr>
          <w:p w14:paraId="2301E14B" w14:textId="74E0DD4E"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HAURESKOLA </w:t>
            </w:r>
          </w:p>
        </w:tc>
        <w:tc>
          <w:tcPr>
            <w:tcW w:w="1699" w:type="dxa"/>
          </w:tcPr>
          <w:p w14:paraId="1A2CC3C1" w14:textId="7196E621"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Santamarina </w:t>
            </w:r>
            <w:proofErr w:type="spellStart"/>
            <w:r w:rsidRPr="006D038C">
              <w:rPr>
                <w:rFonts w:ascii="Century Gothic" w:hAnsi="Century Gothic"/>
                <w:sz w:val="20"/>
                <w:szCs w:val="20"/>
              </w:rPr>
              <w:lastRenderedPageBreak/>
              <w:t>kalea</w:t>
            </w:r>
            <w:proofErr w:type="spellEnd"/>
            <w:r w:rsidRPr="006D038C">
              <w:rPr>
                <w:rFonts w:ascii="Century Gothic" w:hAnsi="Century Gothic"/>
                <w:sz w:val="20"/>
                <w:szCs w:val="20"/>
              </w:rPr>
              <w:t xml:space="preserve"> </w:t>
            </w:r>
          </w:p>
        </w:tc>
        <w:tc>
          <w:tcPr>
            <w:tcW w:w="1699" w:type="dxa"/>
          </w:tcPr>
          <w:p w14:paraId="425E7DDB" w14:textId="4507764D"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lastRenderedPageBreak/>
              <w:t xml:space="preserve">Uso educativo </w:t>
            </w:r>
          </w:p>
        </w:tc>
        <w:tc>
          <w:tcPr>
            <w:tcW w:w="1699" w:type="dxa"/>
          </w:tcPr>
          <w:p w14:paraId="3E0F23FC" w14:textId="4A523A9E"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 </w:t>
            </w:r>
          </w:p>
        </w:tc>
        <w:tc>
          <w:tcPr>
            <w:tcW w:w="1699" w:type="dxa"/>
          </w:tcPr>
          <w:p w14:paraId="65E443D3" w14:textId="34E738D2" w:rsidR="00F0104D" w:rsidRPr="006D038C" w:rsidRDefault="00F0104D" w:rsidP="006D038C">
            <w:pPr>
              <w:autoSpaceDE w:val="0"/>
              <w:autoSpaceDN w:val="0"/>
              <w:adjustRightInd w:val="0"/>
              <w:spacing w:line="360" w:lineRule="auto"/>
              <w:jc w:val="center"/>
              <w:rPr>
                <w:rFonts w:ascii="Century Gothic" w:hAnsi="Century Gothic"/>
                <w:sz w:val="20"/>
                <w:szCs w:val="20"/>
              </w:rPr>
            </w:pPr>
            <w:r w:rsidRPr="006D038C">
              <w:rPr>
                <w:rFonts w:ascii="Century Gothic" w:hAnsi="Century Gothic"/>
                <w:sz w:val="20"/>
                <w:szCs w:val="20"/>
              </w:rPr>
              <w:t>521</w:t>
            </w:r>
          </w:p>
        </w:tc>
      </w:tr>
      <w:tr w:rsidR="00F0104D" w:rsidRPr="006D038C" w14:paraId="25F3C574" w14:textId="77777777" w:rsidTr="00740303">
        <w:tc>
          <w:tcPr>
            <w:tcW w:w="1698" w:type="dxa"/>
          </w:tcPr>
          <w:p w14:paraId="1A7B7BC5" w14:textId="3AC913AF"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POLIDEPORTIVO </w:t>
            </w:r>
          </w:p>
        </w:tc>
        <w:tc>
          <w:tcPr>
            <w:tcW w:w="1699" w:type="dxa"/>
          </w:tcPr>
          <w:p w14:paraId="0E47FCBA" w14:textId="4F04F132"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Calle </w:t>
            </w:r>
            <w:proofErr w:type="spellStart"/>
            <w:r w:rsidRPr="006D038C">
              <w:rPr>
                <w:rFonts w:ascii="Century Gothic" w:hAnsi="Century Gothic"/>
                <w:sz w:val="20"/>
                <w:szCs w:val="20"/>
              </w:rPr>
              <w:t>beheko</w:t>
            </w:r>
            <w:proofErr w:type="spellEnd"/>
            <w:r w:rsidRPr="006D038C">
              <w:rPr>
                <w:rFonts w:ascii="Century Gothic" w:hAnsi="Century Gothic"/>
                <w:sz w:val="20"/>
                <w:szCs w:val="20"/>
              </w:rPr>
              <w:t xml:space="preserve"> 13 </w:t>
            </w:r>
          </w:p>
        </w:tc>
        <w:tc>
          <w:tcPr>
            <w:tcW w:w="1699" w:type="dxa"/>
          </w:tcPr>
          <w:p w14:paraId="7AB72779" w14:textId="0BA5F617"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Uso deportivo </w:t>
            </w:r>
          </w:p>
        </w:tc>
        <w:tc>
          <w:tcPr>
            <w:tcW w:w="1699" w:type="dxa"/>
          </w:tcPr>
          <w:p w14:paraId="5F72427B" w14:textId="78DE8B8C"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Gas Natural </w:t>
            </w:r>
          </w:p>
        </w:tc>
        <w:tc>
          <w:tcPr>
            <w:tcW w:w="1699" w:type="dxa"/>
          </w:tcPr>
          <w:p w14:paraId="3D6D521C" w14:textId="257BAE7A" w:rsidR="00F0104D" w:rsidRPr="006D038C" w:rsidRDefault="00F0104D" w:rsidP="006D038C">
            <w:pPr>
              <w:autoSpaceDE w:val="0"/>
              <w:autoSpaceDN w:val="0"/>
              <w:adjustRightInd w:val="0"/>
              <w:spacing w:line="360" w:lineRule="auto"/>
              <w:jc w:val="center"/>
              <w:rPr>
                <w:rFonts w:ascii="Century Gothic" w:hAnsi="Century Gothic"/>
                <w:sz w:val="20"/>
                <w:szCs w:val="20"/>
              </w:rPr>
            </w:pPr>
            <w:r w:rsidRPr="006D038C">
              <w:rPr>
                <w:rFonts w:ascii="Century Gothic" w:hAnsi="Century Gothic"/>
                <w:sz w:val="20"/>
                <w:szCs w:val="20"/>
              </w:rPr>
              <w:t>1.738</w:t>
            </w:r>
          </w:p>
        </w:tc>
      </w:tr>
      <w:tr w:rsidR="00F0104D" w:rsidRPr="006D038C" w14:paraId="512A7C67" w14:textId="77777777" w:rsidTr="00740303">
        <w:tc>
          <w:tcPr>
            <w:tcW w:w="1698" w:type="dxa"/>
          </w:tcPr>
          <w:p w14:paraId="13EABF59" w14:textId="671DEAEC"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FRONTÓN </w:t>
            </w:r>
          </w:p>
        </w:tc>
        <w:tc>
          <w:tcPr>
            <w:tcW w:w="1699" w:type="dxa"/>
          </w:tcPr>
          <w:p w14:paraId="2FBB6265" w14:textId="01CA5B85" w:rsidR="00F0104D" w:rsidRPr="006D038C" w:rsidRDefault="00F0104D" w:rsidP="006D038C">
            <w:pPr>
              <w:autoSpaceDE w:val="0"/>
              <w:autoSpaceDN w:val="0"/>
              <w:adjustRightInd w:val="0"/>
              <w:spacing w:line="360" w:lineRule="auto"/>
              <w:jc w:val="both"/>
              <w:rPr>
                <w:rFonts w:ascii="Century Gothic" w:hAnsi="Century Gothic"/>
                <w:sz w:val="20"/>
                <w:szCs w:val="20"/>
              </w:rPr>
            </w:pPr>
            <w:proofErr w:type="spellStart"/>
            <w:r w:rsidRPr="006D038C">
              <w:rPr>
                <w:rFonts w:ascii="Century Gothic" w:hAnsi="Century Gothic"/>
                <w:sz w:val="20"/>
                <w:szCs w:val="20"/>
              </w:rPr>
              <w:t>Herriko</w:t>
            </w:r>
            <w:proofErr w:type="spellEnd"/>
            <w:r w:rsidRPr="006D038C">
              <w:rPr>
                <w:rFonts w:ascii="Century Gothic" w:hAnsi="Century Gothic"/>
                <w:sz w:val="20"/>
                <w:szCs w:val="20"/>
              </w:rPr>
              <w:t xml:space="preserve"> plaza </w:t>
            </w:r>
          </w:p>
        </w:tc>
        <w:tc>
          <w:tcPr>
            <w:tcW w:w="1699" w:type="dxa"/>
          </w:tcPr>
          <w:p w14:paraId="42BA84D9" w14:textId="4B25B37D"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Uso deportivo </w:t>
            </w:r>
          </w:p>
        </w:tc>
        <w:tc>
          <w:tcPr>
            <w:tcW w:w="1699" w:type="dxa"/>
          </w:tcPr>
          <w:p w14:paraId="08874F9A" w14:textId="0063A8C5" w:rsidR="00F0104D" w:rsidRPr="006D038C" w:rsidRDefault="00F0104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Gas Natural </w:t>
            </w:r>
          </w:p>
        </w:tc>
        <w:tc>
          <w:tcPr>
            <w:tcW w:w="1699" w:type="dxa"/>
          </w:tcPr>
          <w:p w14:paraId="4A058775" w14:textId="14E13E2A" w:rsidR="00F0104D" w:rsidRPr="006D038C" w:rsidRDefault="00F0104D" w:rsidP="006D038C">
            <w:pPr>
              <w:autoSpaceDE w:val="0"/>
              <w:autoSpaceDN w:val="0"/>
              <w:adjustRightInd w:val="0"/>
              <w:spacing w:line="360" w:lineRule="auto"/>
              <w:jc w:val="center"/>
              <w:rPr>
                <w:rFonts w:ascii="Century Gothic" w:hAnsi="Century Gothic"/>
                <w:sz w:val="20"/>
                <w:szCs w:val="20"/>
              </w:rPr>
            </w:pPr>
            <w:r w:rsidRPr="006D038C">
              <w:rPr>
                <w:rFonts w:ascii="Century Gothic" w:hAnsi="Century Gothic"/>
                <w:sz w:val="20"/>
                <w:szCs w:val="20"/>
              </w:rPr>
              <w:t>1.105</w:t>
            </w:r>
          </w:p>
        </w:tc>
      </w:tr>
    </w:tbl>
    <w:p w14:paraId="70C7DB8B" w14:textId="3E3E5C5B" w:rsidR="00AE7AEA" w:rsidRPr="006D038C" w:rsidRDefault="00AE7AEA" w:rsidP="006D038C">
      <w:pPr>
        <w:autoSpaceDE w:val="0"/>
        <w:autoSpaceDN w:val="0"/>
        <w:adjustRightInd w:val="0"/>
        <w:spacing w:line="360" w:lineRule="auto"/>
        <w:jc w:val="both"/>
        <w:rPr>
          <w:rFonts w:ascii="Century Gothic" w:hAnsi="Century Gothic"/>
          <w:b/>
          <w:bCs/>
          <w:color w:val="FF0000"/>
          <w:sz w:val="20"/>
          <w:szCs w:val="20"/>
        </w:rPr>
      </w:pPr>
    </w:p>
    <w:p w14:paraId="6F075200" w14:textId="61F03C42" w:rsidR="00AE7AEA" w:rsidRPr="009A0493" w:rsidRDefault="00AE7AEA" w:rsidP="009A0493">
      <w:pPr>
        <w:pStyle w:val="Ttulo3"/>
        <w:rPr>
          <w:rFonts w:ascii="Century Gothic" w:hAnsi="Century Gothic"/>
          <w:color w:val="auto"/>
          <w:sz w:val="22"/>
          <w:szCs w:val="22"/>
        </w:rPr>
      </w:pPr>
      <w:bookmarkStart w:id="6" w:name="_Toc118290674"/>
      <w:r w:rsidRPr="009A0493">
        <w:rPr>
          <w:rFonts w:ascii="Century Gothic" w:hAnsi="Century Gothic"/>
          <w:color w:val="auto"/>
          <w:sz w:val="22"/>
          <w:szCs w:val="22"/>
        </w:rPr>
        <w:t>3.2.2 CERTIFICADOS DE EFICIENCIA ENERGÉTICA DE LOS EDIFICIOS MUNICIPALES</w:t>
      </w:r>
      <w:bookmarkEnd w:id="6"/>
    </w:p>
    <w:p w14:paraId="58448AA3" w14:textId="5887872D" w:rsidR="00AE7AEA" w:rsidRPr="006D038C" w:rsidRDefault="00AE7AEA" w:rsidP="006D038C">
      <w:pPr>
        <w:spacing w:line="360" w:lineRule="auto"/>
        <w:jc w:val="both"/>
        <w:rPr>
          <w:rFonts w:ascii="Century Gothic" w:hAnsi="Century Gothic"/>
          <w:b/>
          <w:caps/>
          <w:sz w:val="20"/>
          <w:szCs w:val="20"/>
          <w:u w:val="single"/>
        </w:rPr>
      </w:pPr>
    </w:p>
    <w:p w14:paraId="62599BC4" w14:textId="387A12A5" w:rsidR="00AE7AEA" w:rsidRPr="006D038C" w:rsidRDefault="00AE7AEA"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Se deberán realizar todos los cálculos y trabajos necesarios para la obtención de los </w:t>
      </w:r>
      <w:r w:rsidR="00783FB5" w:rsidRPr="006D038C">
        <w:rPr>
          <w:rFonts w:ascii="Century Gothic" w:hAnsi="Century Gothic"/>
          <w:sz w:val="20"/>
          <w:szCs w:val="20"/>
        </w:rPr>
        <w:t>certificados de eficiencia energética de los edificios de titularidad municipal que se indican a continuación:</w:t>
      </w:r>
    </w:p>
    <w:p w14:paraId="3E2A28CC" w14:textId="700A4264" w:rsidR="00783FB5" w:rsidRPr="006D038C" w:rsidRDefault="00783FB5" w:rsidP="006D038C">
      <w:pPr>
        <w:autoSpaceDE w:val="0"/>
        <w:autoSpaceDN w:val="0"/>
        <w:adjustRightInd w:val="0"/>
        <w:spacing w:line="360" w:lineRule="auto"/>
        <w:jc w:val="both"/>
        <w:rPr>
          <w:rFonts w:ascii="Century Gothic" w:hAnsi="Century Gothic"/>
          <w:color w:val="FF0000"/>
          <w:sz w:val="20"/>
          <w:szCs w:val="20"/>
        </w:rPr>
      </w:pPr>
    </w:p>
    <w:p w14:paraId="2F8964D5" w14:textId="1E5C0F0F" w:rsidR="00783FB5" w:rsidRPr="006D038C" w:rsidRDefault="0061737B" w:rsidP="006D038C">
      <w:pPr>
        <w:pStyle w:val="Prrafodelista"/>
        <w:numPr>
          <w:ilvl w:val="0"/>
          <w:numId w:val="17"/>
        </w:numPr>
        <w:autoSpaceDE w:val="0"/>
        <w:autoSpaceDN w:val="0"/>
        <w:adjustRightInd w:val="0"/>
        <w:spacing w:line="360" w:lineRule="auto"/>
        <w:jc w:val="both"/>
        <w:rPr>
          <w:rFonts w:ascii="Century Gothic" w:hAnsi="Century Gothic"/>
          <w:sz w:val="20"/>
          <w:szCs w:val="20"/>
        </w:rPr>
      </w:pPr>
      <w:bookmarkStart w:id="7" w:name="_Hlk108162592"/>
      <w:r w:rsidRPr="006D038C">
        <w:rPr>
          <w:rFonts w:ascii="Century Gothic" w:hAnsi="Century Gothic"/>
          <w:sz w:val="20"/>
          <w:szCs w:val="20"/>
        </w:rPr>
        <w:t>IKASTOLA GARAZI</w:t>
      </w:r>
    </w:p>
    <w:p w14:paraId="4CBA6254" w14:textId="259D9C0D" w:rsidR="0061737B" w:rsidRPr="006D038C" w:rsidRDefault="0061737B" w:rsidP="006D038C">
      <w:pPr>
        <w:pStyle w:val="Prrafodelista"/>
        <w:numPr>
          <w:ilvl w:val="0"/>
          <w:numId w:val="17"/>
        </w:num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KULTURA ETXEA</w:t>
      </w:r>
    </w:p>
    <w:p w14:paraId="2A78545F" w14:textId="0A64C413" w:rsidR="0061737B" w:rsidRPr="006D038C" w:rsidRDefault="0061737B" w:rsidP="006D038C">
      <w:pPr>
        <w:pStyle w:val="Prrafodelista"/>
        <w:numPr>
          <w:ilvl w:val="0"/>
          <w:numId w:val="17"/>
        </w:num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HAURESKOLA</w:t>
      </w:r>
    </w:p>
    <w:p w14:paraId="56C2D4FB" w14:textId="71CFE656" w:rsidR="0061737B" w:rsidRPr="006D038C" w:rsidRDefault="0061737B" w:rsidP="006D038C">
      <w:pPr>
        <w:pStyle w:val="Prrafodelista"/>
        <w:numPr>
          <w:ilvl w:val="0"/>
          <w:numId w:val="17"/>
        </w:num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POLIDEPORTIVO</w:t>
      </w:r>
    </w:p>
    <w:bookmarkEnd w:id="7"/>
    <w:p w14:paraId="4FC476C4" w14:textId="77777777" w:rsidR="0061737B" w:rsidRPr="006D038C" w:rsidRDefault="0061737B" w:rsidP="006D038C">
      <w:pPr>
        <w:pStyle w:val="Prrafodelista"/>
        <w:autoSpaceDE w:val="0"/>
        <w:autoSpaceDN w:val="0"/>
        <w:adjustRightInd w:val="0"/>
        <w:spacing w:line="360" w:lineRule="auto"/>
        <w:jc w:val="both"/>
        <w:rPr>
          <w:rFonts w:ascii="Century Gothic" w:hAnsi="Century Gothic"/>
          <w:sz w:val="20"/>
          <w:szCs w:val="20"/>
        </w:rPr>
      </w:pPr>
    </w:p>
    <w:p w14:paraId="7E0DC238" w14:textId="1962BAA4" w:rsidR="00783FB5" w:rsidRPr="006D038C" w:rsidRDefault="00783FB5"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Esta certificación se deberá calcular acorde a los requisitos técnicos establecidos en el Real Decreto 235/2013, de 5 de abril, por el que se aprueba el procedimiento básico para la certificación de la eficiencia energética de los edificios</w:t>
      </w:r>
      <w:r w:rsidR="00E72C81" w:rsidRPr="006D038C">
        <w:rPr>
          <w:rFonts w:ascii="Century Gothic" w:hAnsi="Century Gothic"/>
          <w:sz w:val="20"/>
          <w:szCs w:val="20"/>
        </w:rPr>
        <w:t>.</w:t>
      </w:r>
    </w:p>
    <w:p w14:paraId="7B9EF380" w14:textId="1BF0721C" w:rsidR="00E72C81" w:rsidRPr="006D038C" w:rsidRDefault="00E72C81" w:rsidP="006D038C">
      <w:pPr>
        <w:autoSpaceDE w:val="0"/>
        <w:autoSpaceDN w:val="0"/>
        <w:adjustRightInd w:val="0"/>
        <w:spacing w:line="360" w:lineRule="auto"/>
        <w:jc w:val="both"/>
        <w:rPr>
          <w:rFonts w:ascii="Century Gothic" w:hAnsi="Century Gothic"/>
          <w:sz w:val="20"/>
          <w:szCs w:val="20"/>
        </w:rPr>
      </w:pPr>
    </w:p>
    <w:p w14:paraId="72565258" w14:textId="63CD96EA" w:rsidR="00E72C81" w:rsidRPr="006D038C" w:rsidRDefault="00E72C81"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Estos certificados, junto con la documentación técnica correspondiente deberán ser registrados en la entidad competente del Gobierno Vasco.</w:t>
      </w:r>
    </w:p>
    <w:p w14:paraId="6EAD647E" w14:textId="2E47DDE9" w:rsidR="00E72C81" w:rsidRPr="006D038C" w:rsidRDefault="00E72C81" w:rsidP="006D038C">
      <w:pPr>
        <w:autoSpaceDE w:val="0"/>
        <w:autoSpaceDN w:val="0"/>
        <w:adjustRightInd w:val="0"/>
        <w:spacing w:line="360" w:lineRule="auto"/>
        <w:jc w:val="both"/>
        <w:rPr>
          <w:rFonts w:ascii="Century Gothic" w:hAnsi="Century Gothic"/>
          <w:sz w:val="20"/>
          <w:szCs w:val="20"/>
        </w:rPr>
      </w:pPr>
    </w:p>
    <w:p w14:paraId="1618F150" w14:textId="5C488AC4" w:rsidR="00E72C81" w:rsidRPr="006D038C" w:rsidRDefault="00E72C81"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Se deberán presentar al Ayuntamiento, las calificaciones energéticas obtenidas incluyendo las etiquetas de eficiencia energética que se deberán colocar en un lugar visible de los edificios que corresponda, así como los cálculos correspondientes a la calificación obtenida y el justificante de registro en la entidad competente de la certificación energética de edificios en la CAPV. </w:t>
      </w:r>
    </w:p>
    <w:p w14:paraId="7969E872" w14:textId="77777777" w:rsidR="00AE7AEA" w:rsidRPr="006D038C" w:rsidRDefault="00AE7AEA" w:rsidP="006D038C">
      <w:pPr>
        <w:autoSpaceDE w:val="0"/>
        <w:autoSpaceDN w:val="0"/>
        <w:adjustRightInd w:val="0"/>
        <w:spacing w:line="360" w:lineRule="auto"/>
        <w:jc w:val="both"/>
        <w:rPr>
          <w:rFonts w:ascii="Century Gothic" w:hAnsi="Century Gothic"/>
          <w:sz w:val="20"/>
          <w:szCs w:val="20"/>
        </w:rPr>
      </w:pPr>
    </w:p>
    <w:p w14:paraId="5653F307" w14:textId="77777777" w:rsidR="006A3B27" w:rsidRPr="006D038C" w:rsidRDefault="006A3B27" w:rsidP="006D038C">
      <w:pPr>
        <w:autoSpaceDE w:val="0"/>
        <w:autoSpaceDN w:val="0"/>
        <w:adjustRightInd w:val="0"/>
        <w:spacing w:line="360" w:lineRule="auto"/>
        <w:jc w:val="both"/>
        <w:rPr>
          <w:rFonts w:ascii="Century Gothic" w:hAnsi="Century Gothic"/>
          <w:b/>
          <w:caps/>
          <w:sz w:val="20"/>
          <w:szCs w:val="20"/>
          <w:u w:val="single"/>
        </w:rPr>
      </w:pPr>
    </w:p>
    <w:p w14:paraId="034B13AB" w14:textId="63ECBEED" w:rsidR="00CE4314" w:rsidRPr="009A0493" w:rsidRDefault="00CE4314" w:rsidP="009A0493">
      <w:pPr>
        <w:pStyle w:val="Ttulo3"/>
        <w:rPr>
          <w:rFonts w:ascii="Century Gothic" w:hAnsi="Century Gothic"/>
          <w:color w:val="auto"/>
          <w:sz w:val="22"/>
          <w:szCs w:val="22"/>
        </w:rPr>
      </w:pPr>
      <w:bookmarkStart w:id="8" w:name="_Toc118290675"/>
      <w:r w:rsidRPr="009A0493">
        <w:rPr>
          <w:rFonts w:ascii="Century Gothic" w:hAnsi="Century Gothic"/>
          <w:color w:val="auto"/>
          <w:sz w:val="22"/>
          <w:szCs w:val="22"/>
        </w:rPr>
        <w:t xml:space="preserve">3.2.3 </w:t>
      </w:r>
      <w:r w:rsidR="003F038A" w:rsidRPr="009A0493">
        <w:rPr>
          <w:rFonts w:ascii="Century Gothic" w:hAnsi="Century Gothic"/>
          <w:color w:val="auto"/>
          <w:sz w:val="22"/>
          <w:szCs w:val="22"/>
        </w:rPr>
        <w:t>PLAN LOCAL DE CLIMA Y ENERGÍA DEL AYUNTAMIENTO DE LEGUTIO</w:t>
      </w:r>
      <w:bookmarkEnd w:id="8"/>
    </w:p>
    <w:p w14:paraId="1BF13CA8" w14:textId="10B0B56D" w:rsidR="003F038A" w:rsidRPr="006D038C" w:rsidRDefault="003F038A" w:rsidP="006D038C">
      <w:pPr>
        <w:autoSpaceDE w:val="0"/>
        <w:autoSpaceDN w:val="0"/>
        <w:adjustRightInd w:val="0"/>
        <w:spacing w:line="360" w:lineRule="auto"/>
        <w:jc w:val="both"/>
        <w:rPr>
          <w:rFonts w:ascii="Century Gothic" w:hAnsi="Century Gothic"/>
          <w:b/>
          <w:caps/>
          <w:sz w:val="20"/>
          <w:szCs w:val="20"/>
          <w:u w:val="single"/>
        </w:rPr>
      </w:pPr>
    </w:p>
    <w:p w14:paraId="662CD982" w14:textId="64018687" w:rsidR="003F038A" w:rsidRPr="006D038C" w:rsidRDefault="003F038A" w:rsidP="006D038C">
      <w:pPr>
        <w:autoSpaceDE w:val="0"/>
        <w:autoSpaceDN w:val="0"/>
        <w:adjustRightInd w:val="0"/>
        <w:spacing w:line="360" w:lineRule="auto"/>
        <w:jc w:val="both"/>
        <w:rPr>
          <w:rFonts w:ascii="Century Gothic" w:hAnsi="Century Gothic"/>
          <w:b/>
          <w:bCs/>
          <w:sz w:val="20"/>
          <w:szCs w:val="20"/>
          <w:u w:val="single"/>
        </w:rPr>
      </w:pPr>
      <w:r w:rsidRPr="006D038C">
        <w:rPr>
          <w:rFonts w:ascii="Century Gothic" w:hAnsi="Century Gothic"/>
          <w:b/>
          <w:bCs/>
          <w:sz w:val="20"/>
          <w:szCs w:val="20"/>
          <w:u w:val="single"/>
        </w:rPr>
        <w:t>Antecedentes</w:t>
      </w:r>
    </w:p>
    <w:p w14:paraId="2992D6E4" w14:textId="014AA73F" w:rsidR="003F038A" w:rsidRPr="006D038C" w:rsidRDefault="003F038A" w:rsidP="006D038C">
      <w:pPr>
        <w:autoSpaceDE w:val="0"/>
        <w:autoSpaceDN w:val="0"/>
        <w:adjustRightInd w:val="0"/>
        <w:spacing w:line="360" w:lineRule="auto"/>
        <w:jc w:val="both"/>
        <w:rPr>
          <w:rFonts w:ascii="Century Gothic" w:hAnsi="Century Gothic"/>
          <w:b/>
          <w:bCs/>
          <w:sz w:val="20"/>
          <w:szCs w:val="20"/>
          <w:u w:val="single"/>
        </w:rPr>
      </w:pPr>
    </w:p>
    <w:p w14:paraId="27FEDB21" w14:textId="365823F0" w:rsidR="003F038A" w:rsidRPr="006D038C" w:rsidRDefault="003F038A"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Los esfuerzos en la lucha contra el cambio climático desde los ámbitos local y regional se han centrado en mayor medida en la mitigación, con el objeto de lograr una </w:t>
      </w:r>
      <w:r w:rsidRPr="006D038C">
        <w:rPr>
          <w:rFonts w:ascii="Century Gothic" w:hAnsi="Century Gothic"/>
          <w:sz w:val="20"/>
          <w:szCs w:val="20"/>
        </w:rPr>
        <w:lastRenderedPageBreak/>
        <w:t>reducción de los gases de efecto invernadero (GEI). No obstante, y puesto que este tipo de acciones, aunque necesarias, no son suficientes para evitar los impactos del cambio climático, es evidente que también es preciso actuar desde la planificación de posibles respuestas, adaptándonos a las situaciones que generen dichos impactos.</w:t>
      </w:r>
    </w:p>
    <w:p w14:paraId="6E678E3E" w14:textId="27675227" w:rsidR="003F038A" w:rsidRPr="006D038C" w:rsidRDefault="003F038A"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Dada la constatación científica y el reconocimiento en la comunidad internacional de la inevitabilidad de los efectos del cambio climático, en los últimos años se está produciendo un impulso importante a las políticas de adaptación, que en Europa se ven materializadas por ejemplo a través de la Estrategia Europea de Adaptación al Cambio Climático (COM (2013) 216 final) publicada en 2013.</w:t>
      </w:r>
    </w:p>
    <w:p w14:paraId="41C767A0" w14:textId="19DF4D94" w:rsidR="003F038A" w:rsidRPr="006D038C" w:rsidRDefault="003F038A" w:rsidP="006D038C">
      <w:pPr>
        <w:autoSpaceDE w:val="0"/>
        <w:autoSpaceDN w:val="0"/>
        <w:adjustRightInd w:val="0"/>
        <w:spacing w:line="360" w:lineRule="auto"/>
        <w:jc w:val="both"/>
        <w:rPr>
          <w:rFonts w:ascii="Century Gothic" w:hAnsi="Century Gothic"/>
          <w:sz w:val="20"/>
          <w:szCs w:val="20"/>
        </w:rPr>
      </w:pPr>
    </w:p>
    <w:p w14:paraId="26AFE230" w14:textId="18ED7214" w:rsidR="003F038A" w:rsidRPr="006D038C" w:rsidRDefault="003F038A"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Por otro lado, la Agenda 2030 como marco de referencia de carácter internacional en el ámbito del desarrollo sostenible, plantea 17 Objetivos de Desarrollo Sostenible (ODS), que llevan asociadas un total de 169 metas de carácter integrado e indivisible que abarcan las dimensiones social, económica y ambiental. La adopción de medidas urgentes para combatir el cambio climático y sus efectos se recogen en el ODS 13, una de cuyas metas aborda la necesidad de fortalecer la resiliencia y la capacidad de adaptación a los riesgos relacionados con el clima y desastres naturales de todos los países.</w:t>
      </w:r>
    </w:p>
    <w:p w14:paraId="683E2355" w14:textId="32DE6B51" w:rsidR="00907C67" w:rsidRPr="006D038C" w:rsidRDefault="00907C67" w:rsidP="006D038C">
      <w:pPr>
        <w:autoSpaceDE w:val="0"/>
        <w:autoSpaceDN w:val="0"/>
        <w:adjustRightInd w:val="0"/>
        <w:spacing w:line="360" w:lineRule="auto"/>
        <w:jc w:val="both"/>
        <w:rPr>
          <w:rFonts w:ascii="Century Gothic" w:hAnsi="Century Gothic"/>
          <w:sz w:val="20"/>
          <w:szCs w:val="20"/>
        </w:rPr>
      </w:pPr>
    </w:p>
    <w:p w14:paraId="19C7CA6F" w14:textId="41798FE3" w:rsidR="00907C67" w:rsidRPr="006D038C" w:rsidRDefault="00907C67"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En la escala local, el Pacto de Alcaldes y Alcaldesas para el Clima y la Energía, constituye el marco de trabajo de referencia para las entidades locales de Europa que apuestan por una política integral que aborde la mitigación y la adaptación al cambio climático.</w:t>
      </w:r>
    </w:p>
    <w:p w14:paraId="6F91CF6E" w14:textId="47CF923E" w:rsidR="00907C67" w:rsidRPr="006D038C" w:rsidRDefault="00907C67" w:rsidP="006D038C">
      <w:pPr>
        <w:autoSpaceDE w:val="0"/>
        <w:autoSpaceDN w:val="0"/>
        <w:adjustRightInd w:val="0"/>
        <w:spacing w:line="360" w:lineRule="auto"/>
        <w:jc w:val="both"/>
        <w:rPr>
          <w:rFonts w:ascii="Century Gothic" w:hAnsi="Century Gothic"/>
          <w:sz w:val="20"/>
          <w:szCs w:val="20"/>
        </w:rPr>
      </w:pPr>
    </w:p>
    <w:p w14:paraId="012A21EE" w14:textId="6F6C0941" w:rsidR="00907C67" w:rsidRDefault="00907C67"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Sobre este marco metodológico de referencia, en Euskadi se han venido desarrollando diferentes recursos técnicos y metodológicos destinados a los municipios, a los cuales se les ha ofrecido soporte para el impulso de la acción local a favor del clima. En la actualidad, desde Ihobe (en colaboración con EVE) se está impulsando una acción coordinada en materia de mitigación y adaptación a través de un marco metodológico común que permita la elaboración de planes de clima y energía enfocados a alcanzar los objetivos del Marco sobre Clima y Energía para 2030 y a dar respuesta al marco normativo vigente (</w:t>
      </w:r>
      <w:proofErr w:type="spellStart"/>
      <w:r w:rsidRPr="006D038C">
        <w:rPr>
          <w:rFonts w:ascii="Century Gothic" w:hAnsi="Century Gothic"/>
          <w:sz w:val="20"/>
          <w:szCs w:val="20"/>
        </w:rPr>
        <w:t>Ihobe</w:t>
      </w:r>
      <w:proofErr w:type="spellEnd"/>
      <w:r w:rsidRPr="006D038C">
        <w:rPr>
          <w:rFonts w:ascii="Century Gothic" w:hAnsi="Century Gothic"/>
          <w:sz w:val="20"/>
          <w:szCs w:val="20"/>
        </w:rPr>
        <w:t xml:space="preserve"> 2021</w:t>
      </w:r>
      <w:r w:rsidR="00BF5176">
        <w:rPr>
          <w:rFonts w:ascii="Century Gothic" w:hAnsi="Century Gothic"/>
          <w:sz w:val="20"/>
          <w:szCs w:val="20"/>
        </w:rPr>
        <w:t>,</w:t>
      </w:r>
      <w:r w:rsidRPr="006D038C">
        <w:rPr>
          <w:rFonts w:ascii="Century Gothic" w:hAnsi="Century Gothic"/>
          <w:sz w:val="20"/>
          <w:szCs w:val="20"/>
        </w:rPr>
        <w:t xml:space="preserve"> Guía para la elaboración de planes municipales y comarcales para la mitigación y la adaptación al cambio climático)</w:t>
      </w:r>
      <w:r w:rsidR="00A01504" w:rsidRPr="006D038C">
        <w:rPr>
          <w:rFonts w:ascii="Century Gothic" w:hAnsi="Century Gothic"/>
          <w:sz w:val="20"/>
          <w:szCs w:val="20"/>
        </w:rPr>
        <w:t xml:space="preserve">. Es por ello que, de cara a la elaboración y redacción del Plan de Clima y Energía de Legutio, se exigirá al equipo redactor de la empresa que resulte </w:t>
      </w:r>
      <w:r w:rsidR="00A01504" w:rsidRPr="006D038C">
        <w:rPr>
          <w:rFonts w:ascii="Century Gothic" w:hAnsi="Century Gothic"/>
          <w:sz w:val="20"/>
          <w:szCs w:val="20"/>
        </w:rPr>
        <w:lastRenderedPageBreak/>
        <w:t>adjudicataria, que elabore dicho documento en base a lo establecido en el esta Guía técnica y tomando como referencia este documento.</w:t>
      </w:r>
    </w:p>
    <w:p w14:paraId="219B2CF9" w14:textId="59190913" w:rsidR="00A01504" w:rsidRPr="006D038C" w:rsidRDefault="00A01504" w:rsidP="006D038C">
      <w:pPr>
        <w:autoSpaceDE w:val="0"/>
        <w:autoSpaceDN w:val="0"/>
        <w:adjustRightInd w:val="0"/>
        <w:spacing w:line="360" w:lineRule="auto"/>
        <w:jc w:val="both"/>
        <w:rPr>
          <w:rFonts w:ascii="Century Gothic" w:hAnsi="Century Gothic"/>
          <w:sz w:val="20"/>
          <w:szCs w:val="20"/>
        </w:rPr>
      </w:pPr>
    </w:p>
    <w:p w14:paraId="307DF5B8" w14:textId="544353EC" w:rsidR="00A01504" w:rsidRPr="006D038C" w:rsidRDefault="00A01504"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b/>
          <w:bCs/>
          <w:sz w:val="20"/>
          <w:szCs w:val="20"/>
          <w:u w:val="single"/>
        </w:rPr>
        <w:t>Objeto de la redacción del documento</w:t>
      </w:r>
    </w:p>
    <w:p w14:paraId="35F75728" w14:textId="6CD76BE0" w:rsidR="00A01504" w:rsidRPr="006D038C" w:rsidRDefault="00A01504" w:rsidP="006D038C">
      <w:pPr>
        <w:autoSpaceDE w:val="0"/>
        <w:autoSpaceDN w:val="0"/>
        <w:adjustRightInd w:val="0"/>
        <w:spacing w:line="360" w:lineRule="auto"/>
        <w:jc w:val="both"/>
        <w:rPr>
          <w:rFonts w:ascii="Century Gothic" w:hAnsi="Century Gothic"/>
          <w:sz w:val="20"/>
          <w:szCs w:val="20"/>
        </w:rPr>
      </w:pPr>
    </w:p>
    <w:p w14:paraId="1F52621E" w14:textId="57EB6F19" w:rsidR="00A01504" w:rsidRPr="006D038C" w:rsidRDefault="00A01504"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El objeto del proyecto es la elaboración del Plan de Clima y Energía de </w:t>
      </w:r>
      <w:r w:rsidR="00572070" w:rsidRPr="006D038C">
        <w:rPr>
          <w:rFonts w:ascii="Century Gothic" w:hAnsi="Century Gothic"/>
          <w:sz w:val="20"/>
          <w:szCs w:val="20"/>
        </w:rPr>
        <w:t>Legutio</w:t>
      </w:r>
      <w:r w:rsidRPr="006D038C">
        <w:rPr>
          <w:rFonts w:ascii="Century Gothic" w:hAnsi="Century Gothic"/>
          <w:sz w:val="20"/>
          <w:szCs w:val="20"/>
        </w:rPr>
        <w:t>, como</w:t>
      </w:r>
      <w:r w:rsidR="00572070" w:rsidRPr="006D038C">
        <w:rPr>
          <w:rFonts w:ascii="Century Gothic" w:hAnsi="Century Gothic"/>
          <w:sz w:val="20"/>
          <w:szCs w:val="20"/>
        </w:rPr>
        <w:t xml:space="preserve"> </w:t>
      </w:r>
      <w:r w:rsidRPr="006D038C">
        <w:rPr>
          <w:rFonts w:ascii="Century Gothic" w:hAnsi="Century Gothic"/>
          <w:sz w:val="20"/>
          <w:szCs w:val="20"/>
        </w:rPr>
        <w:t>marco de planificación estratégico del</w:t>
      </w:r>
      <w:r w:rsidR="00572070" w:rsidRPr="006D038C">
        <w:rPr>
          <w:rFonts w:ascii="Century Gothic" w:hAnsi="Century Gothic"/>
          <w:sz w:val="20"/>
          <w:szCs w:val="20"/>
        </w:rPr>
        <w:t xml:space="preserve"> </w:t>
      </w:r>
      <w:r w:rsidRPr="006D038C">
        <w:rPr>
          <w:rFonts w:ascii="Century Gothic" w:hAnsi="Century Gothic"/>
          <w:sz w:val="20"/>
          <w:szCs w:val="20"/>
        </w:rPr>
        <w:t>municipio orientado a estructurar la acción</w:t>
      </w:r>
      <w:r w:rsidR="00572070" w:rsidRPr="006D038C">
        <w:rPr>
          <w:rFonts w:ascii="Century Gothic" w:hAnsi="Century Gothic"/>
          <w:sz w:val="20"/>
          <w:szCs w:val="20"/>
        </w:rPr>
        <w:t xml:space="preserve"> </w:t>
      </w:r>
      <w:r w:rsidRPr="006D038C">
        <w:rPr>
          <w:rFonts w:ascii="Century Gothic" w:hAnsi="Century Gothic"/>
          <w:sz w:val="20"/>
          <w:szCs w:val="20"/>
        </w:rPr>
        <w:t>local en materia de adaptación al cambio</w:t>
      </w:r>
      <w:r w:rsidR="00572070" w:rsidRPr="006D038C">
        <w:rPr>
          <w:rFonts w:ascii="Century Gothic" w:hAnsi="Century Gothic"/>
          <w:sz w:val="20"/>
          <w:szCs w:val="20"/>
        </w:rPr>
        <w:t xml:space="preserve"> </w:t>
      </w:r>
      <w:r w:rsidRPr="006D038C">
        <w:rPr>
          <w:rFonts w:ascii="Century Gothic" w:hAnsi="Century Gothic"/>
          <w:sz w:val="20"/>
          <w:szCs w:val="20"/>
        </w:rPr>
        <w:t>climático y a dar cumplimiento a los</w:t>
      </w:r>
      <w:r w:rsidR="00572070" w:rsidRPr="006D038C">
        <w:rPr>
          <w:rFonts w:ascii="Century Gothic" w:hAnsi="Century Gothic"/>
          <w:sz w:val="20"/>
          <w:szCs w:val="20"/>
        </w:rPr>
        <w:t xml:space="preserve"> </w:t>
      </w:r>
      <w:r w:rsidRPr="006D038C">
        <w:rPr>
          <w:rFonts w:ascii="Century Gothic" w:hAnsi="Century Gothic"/>
          <w:sz w:val="20"/>
          <w:szCs w:val="20"/>
        </w:rPr>
        <w:t>requerimientos de la ley 4/2019 de</w:t>
      </w:r>
      <w:r w:rsidR="00572070" w:rsidRPr="006D038C">
        <w:rPr>
          <w:rFonts w:ascii="Century Gothic" w:hAnsi="Century Gothic"/>
          <w:sz w:val="20"/>
          <w:szCs w:val="20"/>
        </w:rPr>
        <w:t xml:space="preserve"> </w:t>
      </w:r>
      <w:r w:rsidRPr="006D038C">
        <w:rPr>
          <w:rFonts w:ascii="Century Gothic" w:hAnsi="Century Gothic"/>
          <w:sz w:val="20"/>
          <w:szCs w:val="20"/>
        </w:rPr>
        <w:t>sostenibilidad energética de la Comunidad</w:t>
      </w:r>
      <w:r w:rsidR="00572070" w:rsidRPr="006D038C">
        <w:rPr>
          <w:rFonts w:ascii="Century Gothic" w:hAnsi="Century Gothic"/>
          <w:sz w:val="20"/>
          <w:szCs w:val="20"/>
        </w:rPr>
        <w:t xml:space="preserve"> </w:t>
      </w:r>
      <w:r w:rsidRPr="006D038C">
        <w:rPr>
          <w:rFonts w:ascii="Century Gothic" w:hAnsi="Century Gothic"/>
          <w:sz w:val="20"/>
          <w:szCs w:val="20"/>
        </w:rPr>
        <w:t>Autónoma Vasca en lo referente a</w:t>
      </w:r>
      <w:r w:rsidR="00572070" w:rsidRPr="006D038C">
        <w:rPr>
          <w:rFonts w:ascii="Century Gothic" w:hAnsi="Century Gothic"/>
          <w:sz w:val="20"/>
          <w:szCs w:val="20"/>
        </w:rPr>
        <w:t xml:space="preserve"> </w:t>
      </w:r>
      <w:r w:rsidRPr="006D038C">
        <w:rPr>
          <w:rFonts w:ascii="Century Gothic" w:hAnsi="Century Gothic"/>
          <w:sz w:val="20"/>
          <w:szCs w:val="20"/>
        </w:rPr>
        <w:t>contabilidad, planificación y comunicación</w:t>
      </w:r>
      <w:r w:rsidR="00572070" w:rsidRPr="006D038C">
        <w:rPr>
          <w:rFonts w:ascii="Century Gothic" w:hAnsi="Century Gothic"/>
          <w:sz w:val="20"/>
          <w:szCs w:val="20"/>
        </w:rPr>
        <w:t xml:space="preserve"> </w:t>
      </w:r>
      <w:r w:rsidRPr="006D038C">
        <w:rPr>
          <w:rFonts w:ascii="Century Gothic" w:hAnsi="Century Gothic"/>
          <w:sz w:val="20"/>
          <w:szCs w:val="20"/>
        </w:rPr>
        <w:t>energética.</w:t>
      </w:r>
    </w:p>
    <w:p w14:paraId="7E11F3A3" w14:textId="11BCA117" w:rsidR="007B1B9C" w:rsidRPr="006D038C" w:rsidRDefault="007B1B9C" w:rsidP="006D038C">
      <w:pPr>
        <w:autoSpaceDE w:val="0"/>
        <w:autoSpaceDN w:val="0"/>
        <w:adjustRightInd w:val="0"/>
        <w:spacing w:line="360" w:lineRule="auto"/>
        <w:jc w:val="both"/>
        <w:rPr>
          <w:rFonts w:ascii="Century Gothic" w:hAnsi="Century Gothic"/>
          <w:sz w:val="20"/>
          <w:szCs w:val="20"/>
        </w:rPr>
      </w:pPr>
    </w:p>
    <w:p w14:paraId="2AFEE961" w14:textId="586149C2" w:rsidR="00392C94" w:rsidRPr="006D038C" w:rsidRDefault="00392C94" w:rsidP="006D038C">
      <w:pPr>
        <w:autoSpaceDE w:val="0"/>
        <w:autoSpaceDN w:val="0"/>
        <w:adjustRightInd w:val="0"/>
        <w:spacing w:line="360" w:lineRule="auto"/>
        <w:jc w:val="both"/>
        <w:rPr>
          <w:rFonts w:ascii="Century Gothic" w:hAnsi="Century Gothic"/>
          <w:b/>
          <w:bCs/>
          <w:sz w:val="20"/>
          <w:szCs w:val="20"/>
          <w:u w:val="single"/>
        </w:rPr>
      </w:pPr>
    </w:p>
    <w:p w14:paraId="280DEA0F" w14:textId="5FA3D3BD" w:rsidR="007B1B9C" w:rsidRPr="006D038C" w:rsidRDefault="007B1B9C" w:rsidP="006D038C">
      <w:pPr>
        <w:autoSpaceDE w:val="0"/>
        <w:autoSpaceDN w:val="0"/>
        <w:adjustRightInd w:val="0"/>
        <w:spacing w:line="360" w:lineRule="auto"/>
        <w:jc w:val="both"/>
        <w:rPr>
          <w:rFonts w:ascii="Century Gothic" w:hAnsi="Century Gothic"/>
          <w:b/>
          <w:bCs/>
          <w:sz w:val="20"/>
          <w:szCs w:val="20"/>
          <w:u w:val="single"/>
        </w:rPr>
      </w:pPr>
      <w:r w:rsidRPr="006D038C">
        <w:rPr>
          <w:rFonts w:ascii="Century Gothic" w:hAnsi="Century Gothic"/>
          <w:b/>
          <w:bCs/>
          <w:sz w:val="20"/>
          <w:szCs w:val="20"/>
          <w:u w:val="single"/>
        </w:rPr>
        <w:t>Alcance y contenido del Plan de Clima y Energía de Legutio</w:t>
      </w:r>
    </w:p>
    <w:p w14:paraId="54740988" w14:textId="029E89EB" w:rsidR="007B1B9C" w:rsidRPr="006D038C" w:rsidRDefault="007B1B9C" w:rsidP="006D038C">
      <w:pPr>
        <w:autoSpaceDE w:val="0"/>
        <w:autoSpaceDN w:val="0"/>
        <w:adjustRightInd w:val="0"/>
        <w:spacing w:line="360" w:lineRule="auto"/>
        <w:jc w:val="both"/>
        <w:rPr>
          <w:rFonts w:ascii="Century Gothic" w:hAnsi="Century Gothic"/>
          <w:b/>
          <w:bCs/>
          <w:sz w:val="20"/>
          <w:szCs w:val="20"/>
          <w:u w:val="single"/>
        </w:rPr>
      </w:pPr>
    </w:p>
    <w:p w14:paraId="4EA22690" w14:textId="67BEE008" w:rsidR="00392C94" w:rsidRPr="006D038C" w:rsidRDefault="00392C94"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Este plan ha de permitir simultáneamente el cumplimiento de los requerimientos de la Ley 04/2019 de Sostenibilidad Energética de la Comunidad Autónoma Vasca en lo referente a contabilidad, planificación y comunicación energética y elaboración del Plan de Actuación Energética indicado en la citada Ley y además, deberá incorporar los retos de acción local por el clima de la futura Ley de Transición Energética y Cambio Climático de la CAPV, debiendo seguir para la redacción del Plan lo establecido en la “Guía Técnica para la elaboración de planes municipales y comarcales para la mitigación y la adaptación al cambio climático” elaborada por IHOBE.</w:t>
      </w:r>
    </w:p>
    <w:p w14:paraId="074D28FA" w14:textId="3629C687" w:rsidR="003C06DD" w:rsidRPr="006D038C" w:rsidRDefault="003C06DD" w:rsidP="006D038C">
      <w:pPr>
        <w:autoSpaceDE w:val="0"/>
        <w:autoSpaceDN w:val="0"/>
        <w:adjustRightInd w:val="0"/>
        <w:spacing w:line="360" w:lineRule="auto"/>
        <w:jc w:val="both"/>
        <w:rPr>
          <w:rFonts w:ascii="Century Gothic" w:hAnsi="Century Gothic"/>
          <w:sz w:val="20"/>
          <w:szCs w:val="20"/>
        </w:rPr>
      </w:pPr>
    </w:p>
    <w:p w14:paraId="7BB1FC5C" w14:textId="36491604" w:rsidR="003C06DD" w:rsidRPr="006D038C" w:rsidRDefault="003C06D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Así mismo, el Plan permitirá concretar y priorizar las acciones a llevar a cabo para alcanzar los objetivos de reducción del 40% de las emisiones de gases de efecto invernadero. En línea con la futura Ley de Transición energética y Cambio Climático de la CAPV, el Plan deberá incorporar medidas de eficiencia energética que permitan el ahorro energético, favorezcan la penetración de energías renovables y aumenten la resiliencia y adaptación al cambio climático del municipio.</w:t>
      </w:r>
    </w:p>
    <w:p w14:paraId="2CDE7471" w14:textId="27577656" w:rsidR="003C06DD" w:rsidRDefault="003C06DD"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Tal y como se especifica en el punto anterior, la redacción del documento se realizará acorde a lo establecido en la “Guía para la elaboración de planes municipales y comarcales para la mitigación y la adaptación al cambio climático” elaborada por IHOBE.</w:t>
      </w:r>
    </w:p>
    <w:p w14:paraId="6163996E" w14:textId="77777777" w:rsidR="006D038C" w:rsidRPr="006D038C" w:rsidRDefault="006D038C" w:rsidP="006D038C">
      <w:pPr>
        <w:autoSpaceDE w:val="0"/>
        <w:autoSpaceDN w:val="0"/>
        <w:adjustRightInd w:val="0"/>
        <w:spacing w:line="360" w:lineRule="auto"/>
        <w:jc w:val="both"/>
        <w:rPr>
          <w:rFonts w:ascii="Century Gothic" w:hAnsi="Century Gothic"/>
          <w:sz w:val="20"/>
          <w:szCs w:val="20"/>
        </w:rPr>
      </w:pPr>
    </w:p>
    <w:p w14:paraId="6450D4E5" w14:textId="0C045266" w:rsidR="005702B1" w:rsidRPr="006D038C" w:rsidRDefault="005702B1" w:rsidP="006D038C">
      <w:pPr>
        <w:autoSpaceDE w:val="0"/>
        <w:autoSpaceDN w:val="0"/>
        <w:adjustRightInd w:val="0"/>
        <w:spacing w:line="360" w:lineRule="auto"/>
        <w:jc w:val="both"/>
        <w:rPr>
          <w:rFonts w:ascii="Century Gothic" w:hAnsi="Century Gothic"/>
          <w:sz w:val="20"/>
          <w:szCs w:val="20"/>
        </w:rPr>
      </w:pPr>
    </w:p>
    <w:p w14:paraId="1CD9DA8A" w14:textId="36026B9F" w:rsidR="005702B1" w:rsidRDefault="005702B1"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El desarrollo del PEC de Legutio contemplará las siguientes fases de trabajo:</w:t>
      </w:r>
    </w:p>
    <w:p w14:paraId="15E79179" w14:textId="77777777" w:rsidR="00C63FB6" w:rsidRPr="006D038C" w:rsidRDefault="00C63FB6" w:rsidP="006D038C">
      <w:pPr>
        <w:autoSpaceDE w:val="0"/>
        <w:autoSpaceDN w:val="0"/>
        <w:adjustRightInd w:val="0"/>
        <w:spacing w:line="360" w:lineRule="auto"/>
        <w:jc w:val="both"/>
        <w:rPr>
          <w:rFonts w:ascii="Century Gothic" w:hAnsi="Century Gothic"/>
          <w:sz w:val="20"/>
          <w:szCs w:val="20"/>
        </w:rPr>
      </w:pPr>
    </w:p>
    <w:p w14:paraId="16A97A42" w14:textId="7EC400E7" w:rsidR="005702B1" w:rsidRPr="006D038C" w:rsidRDefault="005702B1" w:rsidP="006D038C">
      <w:pPr>
        <w:autoSpaceDE w:val="0"/>
        <w:autoSpaceDN w:val="0"/>
        <w:adjustRightInd w:val="0"/>
        <w:spacing w:line="360" w:lineRule="auto"/>
        <w:jc w:val="both"/>
        <w:rPr>
          <w:rFonts w:ascii="Century Gothic" w:hAnsi="Century Gothic"/>
          <w:sz w:val="20"/>
          <w:szCs w:val="20"/>
        </w:rPr>
      </w:pPr>
    </w:p>
    <w:p w14:paraId="40639055" w14:textId="1B0D2F16" w:rsidR="005702B1" w:rsidRPr="006D038C" w:rsidRDefault="005702B1" w:rsidP="006D038C">
      <w:pPr>
        <w:autoSpaceDE w:val="0"/>
        <w:autoSpaceDN w:val="0"/>
        <w:adjustRightInd w:val="0"/>
        <w:spacing w:line="360" w:lineRule="auto"/>
        <w:jc w:val="both"/>
        <w:rPr>
          <w:rFonts w:ascii="Century Gothic" w:hAnsi="Century Gothic"/>
          <w:b/>
          <w:bCs/>
          <w:sz w:val="20"/>
          <w:szCs w:val="20"/>
        </w:rPr>
      </w:pPr>
      <w:r w:rsidRPr="006D038C">
        <w:rPr>
          <w:rFonts w:ascii="Century Gothic" w:hAnsi="Century Gothic"/>
          <w:b/>
          <w:bCs/>
          <w:sz w:val="20"/>
          <w:szCs w:val="20"/>
        </w:rPr>
        <w:t>1. Fase previa o de preparación</w:t>
      </w:r>
    </w:p>
    <w:p w14:paraId="63D425A6" w14:textId="2EEB891B" w:rsidR="005702B1" w:rsidRPr="006D038C" w:rsidRDefault="005702B1"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 xml:space="preserve"> </w:t>
      </w:r>
    </w:p>
    <w:p w14:paraId="1CF78BDB" w14:textId="12CE9139" w:rsidR="005702B1" w:rsidRPr="006D038C" w:rsidRDefault="005702B1" w:rsidP="00BF5176">
      <w:pPr>
        <w:pStyle w:val="Prrafodelista"/>
        <w:numPr>
          <w:ilvl w:val="1"/>
          <w:numId w:val="22"/>
        </w:numPr>
        <w:autoSpaceDE w:val="0"/>
        <w:autoSpaceDN w:val="0"/>
        <w:adjustRightInd w:val="0"/>
        <w:spacing w:line="360" w:lineRule="auto"/>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Recopilación y análisis de la información disponible (mitigación y adaptación).</w:t>
      </w:r>
    </w:p>
    <w:p w14:paraId="2AECDACD" w14:textId="77777777" w:rsidR="005702B1" w:rsidRPr="006D038C" w:rsidRDefault="005702B1" w:rsidP="00BF5176">
      <w:pPr>
        <w:pStyle w:val="Prrafodelista"/>
        <w:numPr>
          <w:ilvl w:val="1"/>
          <w:numId w:val="22"/>
        </w:numPr>
        <w:autoSpaceDE w:val="0"/>
        <w:autoSpaceDN w:val="0"/>
        <w:adjustRightInd w:val="0"/>
        <w:spacing w:line="360" w:lineRule="auto"/>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Entrevistas a responsables técnicos.</w:t>
      </w:r>
    </w:p>
    <w:p w14:paraId="2733620F" w14:textId="6D02110B" w:rsidR="005702B1" w:rsidRPr="006D038C" w:rsidRDefault="005702B1" w:rsidP="00BF5176">
      <w:pPr>
        <w:pStyle w:val="Prrafodelista"/>
        <w:numPr>
          <w:ilvl w:val="1"/>
          <w:numId w:val="22"/>
        </w:numPr>
        <w:autoSpaceDE w:val="0"/>
        <w:autoSpaceDN w:val="0"/>
        <w:adjustRightInd w:val="0"/>
        <w:spacing w:line="360" w:lineRule="auto"/>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Diseño de un plan de comunicación interna y externa.</w:t>
      </w:r>
    </w:p>
    <w:p w14:paraId="622C59C4" w14:textId="77777777" w:rsidR="003C06DD" w:rsidRPr="006D038C" w:rsidRDefault="003C06DD" w:rsidP="006D038C">
      <w:pPr>
        <w:autoSpaceDE w:val="0"/>
        <w:autoSpaceDN w:val="0"/>
        <w:adjustRightInd w:val="0"/>
        <w:spacing w:line="360" w:lineRule="auto"/>
        <w:jc w:val="both"/>
        <w:rPr>
          <w:rFonts w:ascii="Century Gothic" w:hAnsi="Century Gothic"/>
          <w:sz w:val="20"/>
          <w:szCs w:val="20"/>
        </w:rPr>
      </w:pPr>
    </w:p>
    <w:p w14:paraId="6CE8F00B" w14:textId="77777777" w:rsidR="005702B1" w:rsidRPr="006D038C" w:rsidRDefault="005702B1" w:rsidP="006D038C">
      <w:pPr>
        <w:autoSpaceDE w:val="0"/>
        <w:autoSpaceDN w:val="0"/>
        <w:adjustRightInd w:val="0"/>
        <w:spacing w:line="360" w:lineRule="auto"/>
        <w:jc w:val="both"/>
        <w:rPr>
          <w:rFonts w:ascii="Century Gothic" w:hAnsi="Century Gothic"/>
          <w:b/>
          <w:bCs/>
          <w:sz w:val="20"/>
          <w:szCs w:val="20"/>
        </w:rPr>
      </w:pPr>
      <w:r w:rsidRPr="006D038C">
        <w:rPr>
          <w:rFonts w:ascii="Century Gothic" w:hAnsi="Century Gothic"/>
          <w:b/>
          <w:bCs/>
          <w:sz w:val="20"/>
          <w:szCs w:val="20"/>
        </w:rPr>
        <w:t>2. Diagnóstico de mitigación y adaptación</w:t>
      </w:r>
    </w:p>
    <w:p w14:paraId="288C6F5D" w14:textId="77777777" w:rsidR="005702B1" w:rsidRPr="006D038C" w:rsidRDefault="005702B1" w:rsidP="006D038C">
      <w:pPr>
        <w:autoSpaceDE w:val="0"/>
        <w:autoSpaceDN w:val="0"/>
        <w:adjustRightInd w:val="0"/>
        <w:spacing w:line="360" w:lineRule="auto"/>
        <w:jc w:val="both"/>
        <w:rPr>
          <w:rFonts w:ascii="Century Gothic" w:hAnsi="Century Gothic"/>
          <w:b/>
          <w:bCs/>
          <w:sz w:val="20"/>
          <w:szCs w:val="20"/>
        </w:rPr>
      </w:pPr>
    </w:p>
    <w:p w14:paraId="59EDD588" w14:textId="4054DE7A" w:rsidR="005702B1" w:rsidRPr="006D038C" w:rsidRDefault="005702B1" w:rsidP="006D038C">
      <w:p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hAnsi="Century Gothic"/>
          <w:b/>
          <w:bCs/>
          <w:sz w:val="20"/>
          <w:szCs w:val="20"/>
        </w:rPr>
        <w:tab/>
      </w:r>
      <w:r w:rsidRPr="006D038C">
        <w:rPr>
          <w:rFonts w:ascii="Century Gothic" w:eastAsiaTheme="minorHAnsi" w:hAnsi="Century Gothic"/>
          <w:sz w:val="20"/>
          <w:szCs w:val="20"/>
          <w:lang w:eastAsia="en-US"/>
        </w:rPr>
        <w:t>2.1 Contextualización de Legutio en materia de Cambio Climático.</w:t>
      </w:r>
    </w:p>
    <w:p w14:paraId="12E7CC35" w14:textId="77777777" w:rsidR="009C60EE" w:rsidRPr="006D038C" w:rsidRDefault="009C60EE" w:rsidP="006D038C">
      <w:pPr>
        <w:autoSpaceDE w:val="0"/>
        <w:autoSpaceDN w:val="0"/>
        <w:adjustRightInd w:val="0"/>
        <w:spacing w:line="360" w:lineRule="auto"/>
        <w:jc w:val="both"/>
        <w:rPr>
          <w:rFonts w:ascii="Century Gothic" w:eastAsiaTheme="minorHAnsi" w:hAnsi="Century Gothic"/>
          <w:sz w:val="20"/>
          <w:szCs w:val="20"/>
          <w:lang w:eastAsia="en-US"/>
        </w:rPr>
      </w:pPr>
    </w:p>
    <w:p w14:paraId="3AAC39BB" w14:textId="101B6D24" w:rsidR="00C82607" w:rsidRPr="006D038C" w:rsidRDefault="00C82607" w:rsidP="006D038C">
      <w:p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ab/>
        <w:t>2.2 Diagnóstico de mitigación</w:t>
      </w:r>
    </w:p>
    <w:p w14:paraId="0736AE8F" w14:textId="21A74887" w:rsidR="00C82607" w:rsidRPr="00916A18" w:rsidRDefault="00C82607" w:rsidP="00916A18">
      <w:pPr>
        <w:pStyle w:val="Prrafodelista"/>
        <w:numPr>
          <w:ilvl w:val="0"/>
          <w:numId w:val="23"/>
        </w:numPr>
        <w:autoSpaceDE w:val="0"/>
        <w:autoSpaceDN w:val="0"/>
        <w:adjustRightInd w:val="0"/>
        <w:spacing w:line="360" w:lineRule="auto"/>
        <w:ind w:left="1843" w:hanging="567"/>
        <w:jc w:val="both"/>
        <w:rPr>
          <w:rFonts w:ascii="Century Gothic" w:eastAsiaTheme="minorHAnsi" w:hAnsi="Century Gothic"/>
          <w:sz w:val="20"/>
          <w:szCs w:val="20"/>
          <w:lang w:eastAsia="en-US"/>
        </w:rPr>
      </w:pPr>
      <w:r w:rsidRPr="00916A18">
        <w:rPr>
          <w:rFonts w:ascii="Century Gothic" w:eastAsiaTheme="minorHAnsi" w:hAnsi="Century Gothic"/>
          <w:sz w:val="20"/>
          <w:szCs w:val="20"/>
          <w:lang w:eastAsia="en-US"/>
        </w:rPr>
        <w:t>Balance energético e inventario de GEI de los sectores del municipio.</w:t>
      </w:r>
    </w:p>
    <w:p w14:paraId="335B315B" w14:textId="29962428" w:rsidR="00C82607" w:rsidRPr="00916A18" w:rsidRDefault="00C82607" w:rsidP="00916A18">
      <w:pPr>
        <w:pStyle w:val="Prrafodelista"/>
        <w:numPr>
          <w:ilvl w:val="0"/>
          <w:numId w:val="23"/>
        </w:numPr>
        <w:autoSpaceDE w:val="0"/>
        <w:autoSpaceDN w:val="0"/>
        <w:adjustRightInd w:val="0"/>
        <w:spacing w:line="360" w:lineRule="auto"/>
        <w:ind w:left="1843" w:hanging="567"/>
        <w:jc w:val="both"/>
        <w:rPr>
          <w:rFonts w:ascii="Century Gothic" w:eastAsiaTheme="minorHAnsi" w:hAnsi="Century Gothic"/>
          <w:sz w:val="20"/>
          <w:szCs w:val="20"/>
          <w:lang w:eastAsia="en-US"/>
        </w:rPr>
      </w:pPr>
      <w:r w:rsidRPr="00916A18">
        <w:rPr>
          <w:rFonts w:ascii="Century Gothic" w:eastAsiaTheme="minorHAnsi" w:hAnsi="Century Gothic"/>
          <w:sz w:val="20"/>
          <w:szCs w:val="20"/>
          <w:lang w:eastAsia="en-US"/>
        </w:rPr>
        <w:t xml:space="preserve">Balance energético e inventario de GEI o Huella de Carbono del </w:t>
      </w:r>
      <w:r w:rsidRPr="00916A18">
        <w:rPr>
          <w:rFonts w:ascii="Century Gothic" w:eastAsiaTheme="minorHAnsi" w:hAnsi="Century Gothic"/>
          <w:sz w:val="20"/>
          <w:szCs w:val="20"/>
          <w:lang w:eastAsia="en-US"/>
        </w:rPr>
        <w:tab/>
        <w:t>ayuntamiento.</w:t>
      </w:r>
    </w:p>
    <w:p w14:paraId="40373176" w14:textId="7FF5E673" w:rsidR="00C82607" w:rsidRPr="00916A18" w:rsidRDefault="00C82607" w:rsidP="00916A18">
      <w:pPr>
        <w:pStyle w:val="Prrafodelista"/>
        <w:numPr>
          <w:ilvl w:val="0"/>
          <w:numId w:val="23"/>
        </w:numPr>
        <w:autoSpaceDE w:val="0"/>
        <w:autoSpaceDN w:val="0"/>
        <w:adjustRightInd w:val="0"/>
        <w:spacing w:line="360" w:lineRule="auto"/>
        <w:ind w:left="1843" w:hanging="567"/>
        <w:jc w:val="both"/>
        <w:rPr>
          <w:rFonts w:ascii="Century Gothic" w:eastAsiaTheme="minorHAnsi" w:hAnsi="Century Gothic"/>
          <w:sz w:val="20"/>
          <w:szCs w:val="20"/>
          <w:lang w:eastAsia="en-US"/>
        </w:rPr>
      </w:pPr>
      <w:r w:rsidRPr="00916A18">
        <w:rPr>
          <w:rFonts w:ascii="Century Gothic" w:eastAsiaTheme="minorHAnsi" w:hAnsi="Century Gothic"/>
          <w:sz w:val="20"/>
          <w:szCs w:val="20"/>
          <w:lang w:eastAsia="en-US"/>
        </w:rPr>
        <w:t>Análisis energético de las instalaciones municipales.</w:t>
      </w:r>
    </w:p>
    <w:p w14:paraId="6C0AEBF1" w14:textId="1BF70E8B" w:rsidR="00C82607" w:rsidRPr="00916A18" w:rsidRDefault="00C82607" w:rsidP="00916A18">
      <w:pPr>
        <w:pStyle w:val="Prrafodelista"/>
        <w:numPr>
          <w:ilvl w:val="2"/>
          <w:numId w:val="24"/>
        </w:numPr>
        <w:autoSpaceDE w:val="0"/>
        <w:autoSpaceDN w:val="0"/>
        <w:adjustRightInd w:val="0"/>
        <w:spacing w:line="360" w:lineRule="auto"/>
        <w:jc w:val="both"/>
        <w:rPr>
          <w:rFonts w:ascii="Century Gothic" w:eastAsiaTheme="minorHAnsi" w:hAnsi="Century Gothic"/>
          <w:sz w:val="20"/>
          <w:szCs w:val="20"/>
          <w:lang w:eastAsia="en-US"/>
        </w:rPr>
      </w:pPr>
      <w:r w:rsidRPr="00916A18">
        <w:rPr>
          <w:rFonts w:ascii="Century Gothic" w:eastAsiaTheme="minorHAnsi" w:hAnsi="Century Gothic"/>
          <w:sz w:val="20"/>
          <w:szCs w:val="20"/>
          <w:lang w:eastAsia="en-US"/>
        </w:rPr>
        <w:t>Contabilidad energética del parque de edificios, alumbrado y flota municipal.</w:t>
      </w:r>
    </w:p>
    <w:p w14:paraId="679FF6BB" w14:textId="26684332" w:rsidR="009C60EE" w:rsidRPr="00916A18" w:rsidRDefault="009C60EE" w:rsidP="00916A18">
      <w:pPr>
        <w:pStyle w:val="Prrafodelista"/>
        <w:numPr>
          <w:ilvl w:val="2"/>
          <w:numId w:val="24"/>
        </w:numPr>
        <w:autoSpaceDE w:val="0"/>
        <w:autoSpaceDN w:val="0"/>
        <w:adjustRightInd w:val="0"/>
        <w:spacing w:line="360" w:lineRule="auto"/>
        <w:jc w:val="both"/>
        <w:rPr>
          <w:rFonts w:ascii="Century Gothic" w:eastAsiaTheme="minorHAnsi" w:hAnsi="Century Gothic"/>
          <w:sz w:val="20"/>
          <w:szCs w:val="20"/>
          <w:lang w:eastAsia="en-US"/>
        </w:rPr>
      </w:pPr>
      <w:r w:rsidRPr="00916A18">
        <w:rPr>
          <w:rFonts w:ascii="Century Gothic" w:eastAsiaTheme="minorHAnsi" w:hAnsi="Century Gothic"/>
          <w:sz w:val="20"/>
          <w:szCs w:val="20"/>
          <w:lang w:eastAsia="en-US"/>
        </w:rPr>
        <w:t xml:space="preserve">Calculo de indicadores de eficiencia energética. </w:t>
      </w:r>
    </w:p>
    <w:p w14:paraId="5B53D6A1" w14:textId="749AE121" w:rsidR="009C60EE" w:rsidRPr="00916A18" w:rsidRDefault="009C60EE" w:rsidP="00916A18">
      <w:pPr>
        <w:pStyle w:val="Prrafodelista"/>
        <w:numPr>
          <w:ilvl w:val="2"/>
          <w:numId w:val="24"/>
        </w:numPr>
        <w:autoSpaceDE w:val="0"/>
        <w:autoSpaceDN w:val="0"/>
        <w:adjustRightInd w:val="0"/>
        <w:spacing w:line="360" w:lineRule="auto"/>
        <w:jc w:val="both"/>
        <w:rPr>
          <w:rFonts w:ascii="Century Gothic" w:eastAsiaTheme="minorHAnsi" w:hAnsi="Century Gothic"/>
          <w:sz w:val="20"/>
          <w:szCs w:val="20"/>
          <w:lang w:eastAsia="en-US"/>
        </w:rPr>
      </w:pPr>
      <w:r w:rsidRPr="00916A18">
        <w:rPr>
          <w:rFonts w:ascii="Century Gothic" w:eastAsiaTheme="minorHAnsi" w:hAnsi="Century Gothic"/>
          <w:sz w:val="20"/>
          <w:szCs w:val="20"/>
          <w:lang w:eastAsia="en-US"/>
        </w:rPr>
        <w:t>Identificación de potenciales de ahorro energético y generación de renovables.</w:t>
      </w:r>
    </w:p>
    <w:p w14:paraId="230792DB" w14:textId="77777777" w:rsidR="009C60EE" w:rsidRPr="006D038C" w:rsidRDefault="009C60EE" w:rsidP="006D038C">
      <w:pPr>
        <w:autoSpaceDE w:val="0"/>
        <w:autoSpaceDN w:val="0"/>
        <w:adjustRightInd w:val="0"/>
        <w:spacing w:line="360" w:lineRule="auto"/>
        <w:jc w:val="both"/>
        <w:rPr>
          <w:rFonts w:ascii="Century Gothic" w:eastAsiaTheme="minorHAnsi" w:hAnsi="Century Gothic"/>
          <w:sz w:val="20"/>
          <w:szCs w:val="20"/>
          <w:lang w:eastAsia="en-US"/>
        </w:rPr>
      </w:pPr>
    </w:p>
    <w:p w14:paraId="76C17E26" w14:textId="4B3EC4CC" w:rsidR="009C60EE" w:rsidRPr="006D038C" w:rsidRDefault="009C60EE" w:rsidP="00916A18">
      <w:pPr>
        <w:pStyle w:val="Prrafodelista"/>
        <w:numPr>
          <w:ilvl w:val="0"/>
          <w:numId w:val="23"/>
        </w:numPr>
        <w:autoSpaceDE w:val="0"/>
        <w:autoSpaceDN w:val="0"/>
        <w:adjustRightInd w:val="0"/>
        <w:spacing w:line="360" w:lineRule="auto"/>
        <w:ind w:left="1843" w:hanging="567"/>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Diagnóstico sintético del balance energético y de emisiones.</w:t>
      </w:r>
    </w:p>
    <w:p w14:paraId="6400961C" w14:textId="058B8C7D" w:rsidR="009C60EE" w:rsidRPr="006D038C" w:rsidRDefault="009C60EE" w:rsidP="006D038C">
      <w:pPr>
        <w:pStyle w:val="Prrafodelista"/>
        <w:autoSpaceDE w:val="0"/>
        <w:autoSpaceDN w:val="0"/>
        <w:adjustRightInd w:val="0"/>
        <w:spacing w:line="360" w:lineRule="auto"/>
        <w:ind w:left="1425"/>
        <w:rPr>
          <w:rFonts w:ascii="Century Gothic" w:eastAsiaTheme="minorHAnsi" w:hAnsi="Century Gothic"/>
          <w:sz w:val="20"/>
          <w:szCs w:val="20"/>
          <w:lang w:eastAsia="en-US"/>
        </w:rPr>
      </w:pPr>
    </w:p>
    <w:p w14:paraId="6E286C79" w14:textId="1C5EAE80" w:rsidR="005702B1" w:rsidRPr="006D038C" w:rsidRDefault="009C60EE" w:rsidP="006D038C">
      <w:pPr>
        <w:autoSpaceDE w:val="0"/>
        <w:autoSpaceDN w:val="0"/>
        <w:adjustRightInd w:val="0"/>
        <w:spacing w:line="360" w:lineRule="auto"/>
        <w:jc w:val="both"/>
        <w:rPr>
          <w:rFonts w:ascii="Century Gothic" w:hAnsi="Century Gothic"/>
          <w:sz w:val="20"/>
          <w:szCs w:val="20"/>
        </w:rPr>
      </w:pPr>
      <w:r w:rsidRPr="006D038C">
        <w:rPr>
          <w:rFonts w:ascii="Century Gothic" w:hAnsi="Century Gothic"/>
          <w:sz w:val="20"/>
          <w:szCs w:val="20"/>
        </w:rPr>
        <w:tab/>
        <w:t>2.3 Diagnóstico de adaptación</w:t>
      </w:r>
    </w:p>
    <w:p w14:paraId="1C4F123A" w14:textId="5C2B0D21" w:rsidR="009C60EE" w:rsidRPr="006D038C" w:rsidRDefault="009C60EE" w:rsidP="00916A18">
      <w:pPr>
        <w:pStyle w:val="Prrafodelista"/>
        <w:numPr>
          <w:ilvl w:val="0"/>
          <w:numId w:val="25"/>
        </w:numPr>
        <w:autoSpaceDE w:val="0"/>
        <w:autoSpaceDN w:val="0"/>
        <w:adjustRightInd w:val="0"/>
        <w:spacing w:line="360" w:lineRule="auto"/>
        <w:ind w:left="1843" w:hanging="567"/>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 xml:space="preserve">Análisis de tendencia históricas y de proyecciones climáticas. </w:t>
      </w:r>
    </w:p>
    <w:p w14:paraId="6F8C0BE3" w14:textId="22115630" w:rsidR="009C60EE" w:rsidRPr="006D038C" w:rsidRDefault="009C60EE" w:rsidP="00916A18">
      <w:pPr>
        <w:pStyle w:val="Prrafodelista"/>
        <w:numPr>
          <w:ilvl w:val="0"/>
          <w:numId w:val="25"/>
        </w:numPr>
        <w:autoSpaceDE w:val="0"/>
        <w:autoSpaceDN w:val="0"/>
        <w:adjustRightInd w:val="0"/>
        <w:spacing w:line="360" w:lineRule="auto"/>
        <w:ind w:left="1843" w:hanging="567"/>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Evaluación de la vulnerabilidad y el riesgo ante el cambio climático.</w:t>
      </w:r>
    </w:p>
    <w:p w14:paraId="2DE7AD91" w14:textId="2EEEFBBA" w:rsidR="009C60EE" w:rsidRPr="006D038C" w:rsidRDefault="009C60EE" w:rsidP="00916A18">
      <w:pPr>
        <w:pStyle w:val="Prrafodelista"/>
        <w:numPr>
          <w:ilvl w:val="0"/>
          <w:numId w:val="25"/>
        </w:numPr>
        <w:autoSpaceDE w:val="0"/>
        <w:autoSpaceDN w:val="0"/>
        <w:adjustRightInd w:val="0"/>
        <w:spacing w:line="360" w:lineRule="auto"/>
        <w:ind w:left="1843" w:hanging="567"/>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Diagnóstico sintético de adaptación del cambio climático.</w:t>
      </w:r>
    </w:p>
    <w:p w14:paraId="64EE1313" w14:textId="77777777" w:rsidR="009C60EE" w:rsidRPr="006D038C" w:rsidRDefault="009C60EE" w:rsidP="006D038C">
      <w:pPr>
        <w:autoSpaceDE w:val="0"/>
        <w:autoSpaceDN w:val="0"/>
        <w:adjustRightInd w:val="0"/>
        <w:spacing w:line="360" w:lineRule="auto"/>
        <w:jc w:val="both"/>
        <w:rPr>
          <w:rFonts w:ascii="Century Gothic" w:hAnsi="Century Gothic"/>
          <w:sz w:val="20"/>
          <w:szCs w:val="20"/>
        </w:rPr>
      </w:pPr>
    </w:p>
    <w:p w14:paraId="1FE5159F" w14:textId="77777777" w:rsidR="009B1D9F" w:rsidRDefault="009B1D9F" w:rsidP="006D038C">
      <w:pPr>
        <w:autoSpaceDE w:val="0"/>
        <w:autoSpaceDN w:val="0"/>
        <w:adjustRightInd w:val="0"/>
        <w:spacing w:line="360" w:lineRule="auto"/>
        <w:jc w:val="both"/>
        <w:rPr>
          <w:rFonts w:ascii="Century Gothic" w:hAnsi="Century Gothic"/>
          <w:b/>
          <w:bCs/>
          <w:sz w:val="20"/>
          <w:szCs w:val="20"/>
        </w:rPr>
      </w:pPr>
    </w:p>
    <w:p w14:paraId="327B477C" w14:textId="77777777" w:rsidR="009B1D9F" w:rsidRDefault="009B1D9F" w:rsidP="006D038C">
      <w:pPr>
        <w:autoSpaceDE w:val="0"/>
        <w:autoSpaceDN w:val="0"/>
        <w:adjustRightInd w:val="0"/>
        <w:spacing w:line="360" w:lineRule="auto"/>
        <w:jc w:val="both"/>
        <w:rPr>
          <w:rFonts w:ascii="Century Gothic" w:hAnsi="Century Gothic"/>
          <w:b/>
          <w:bCs/>
          <w:sz w:val="20"/>
          <w:szCs w:val="20"/>
        </w:rPr>
      </w:pPr>
    </w:p>
    <w:p w14:paraId="406554BD" w14:textId="77777777" w:rsidR="00DE1DE0" w:rsidRPr="006D038C" w:rsidRDefault="00DE1DE0" w:rsidP="006D038C">
      <w:pPr>
        <w:autoSpaceDE w:val="0"/>
        <w:autoSpaceDN w:val="0"/>
        <w:adjustRightInd w:val="0"/>
        <w:spacing w:line="360" w:lineRule="auto"/>
        <w:jc w:val="both"/>
        <w:rPr>
          <w:rFonts w:ascii="Century Gothic" w:hAnsi="Century Gothic"/>
          <w:b/>
          <w:bCs/>
          <w:sz w:val="20"/>
          <w:szCs w:val="20"/>
        </w:rPr>
      </w:pPr>
      <w:r w:rsidRPr="006D038C">
        <w:rPr>
          <w:rFonts w:ascii="Century Gothic" w:hAnsi="Century Gothic"/>
          <w:b/>
          <w:bCs/>
          <w:sz w:val="20"/>
          <w:szCs w:val="20"/>
        </w:rPr>
        <w:lastRenderedPageBreak/>
        <w:t>3. Formulación estratégica</w:t>
      </w:r>
    </w:p>
    <w:p w14:paraId="1E6124FF" w14:textId="77777777" w:rsidR="00DE1DE0" w:rsidRPr="006D038C" w:rsidRDefault="00DE1DE0" w:rsidP="006D038C">
      <w:pPr>
        <w:autoSpaceDE w:val="0"/>
        <w:autoSpaceDN w:val="0"/>
        <w:adjustRightInd w:val="0"/>
        <w:spacing w:line="360" w:lineRule="auto"/>
        <w:jc w:val="both"/>
        <w:rPr>
          <w:rFonts w:ascii="Century Gothic" w:hAnsi="Century Gothic"/>
          <w:b/>
          <w:bCs/>
          <w:sz w:val="20"/>
          <w:szCs w:val="20"/>
        </w:rPr>
      </w:pPr>
    </w:p>
    <w:p w14:paraId="103B13BB" w14:textId="46C02B06" w:rsidR="00DE1DE0" w:rsidRPr="009B1D9F" w:rsidRDefault="00DE1DE0" w:rsidP="009B1D9F">
      <w:pPr>
        <w:pStyle w:val="Prrafodelista"/>
        <w:numPr>
          <w:ilvl w:val="0"/>
          <w:numId w:val="26"/>
        </w:numPr>
        <w:autoSpaceDE w:val="0"/>
        <w:autoSpaceDN w:val="0"/>
        <w:adjustRightInd w:val="0"/>
        <w:spacing w:line="360" w:lineRule="auto"/>
        <w:jc w:val="both"/>
        <w:rPr>
          <w:rFonts w:ascii="Century Gothic" w:eastAsiaTheme="minorHAnsi" w:hAnsi="Century Gothic"/>
          <w:sz w:val="20"/>
          <w:szCs w:val="20"/>
          <w:lang w:eastAsia="en-US"/>
        </w:rPr>
      </w:pPr>
      <w:r w:rsidRPr="009B1D9F">
        <w:rPr>
          <w:rFonts w:ascii="Century Gothic" w:eastAsiaTheme="minorHAnsi" w:hAnsi="Century Gothic"/>
          <w:sz w:val="20"/>
          <w:szCs w:val="20"/>
          <w:lang w:eastAsia="en-US"/>
        </w:rPr>
        <w:t>Elaboración del escenario tendencial 2030 y cálculo de objetivo de emisiones de GEI a reducir.</w:t>
      </w:r>
    </w:p>
    <w:p w14:paraId="25769960" w14:textId="66C593DC" w:rsidR="00DE1DE0" w:rsidRPr="009B1D9F" w:rsidRDefault="00DE1DE0" w:rsidP="009B1D9F">
      <w:pPr>
        <w:pStyle w:val="Prrafodelista"/>
        <w:numPr>
          <w:ilvl w:val="0"/>
          <w:numId w:val="26"/>
        </w:numPr>
        <w:autoSpaceDE w:val="0"/>
        <w:autoSpaceDN w:val="0"/>
        <w:adjustRightInd w:val="0"/>
        <w:spacing w:line="360" w:lineRule="auto"/>
        <w:jc w:val="both"/>
        <w:rPr>
          <w:rFonts w:ascii="Century Gothic" w:eastAsiaTheme="minorHAnsi" w:hAnsi="Century Gothic"/>
          <w:sz w:val="20"/>
          <w:szCs w:val="20"/>
          <w:lang w:eastAsia="en-US"/>
        </w:rPr>
      </w:pPr>
      <w:r w:rsidRPr="009B1D9F">
        <w:rPr>
          <w:rFonts w:ascii="Century Gothic" w:eastAsiaTheme="minorHAnsi" w:hAnsi="Century Gothic"/>
          <w:sz w:val="20"/>
          <w:szCs w:val="20"/>
          <w:lang w:eastAsia="en-US"/>
        </w:rPr>
        <w:t>Formulación de visión, metas y objetivos estratégicas (mitigación y adaptación).</w:t>
      </w:r>
    </w:p>
    <w:p w14:paraId="69BE67BB" w14:textId="3AF49B30" w:rsidR="00DE1DE0" w:rsidRPr="009B1D9F" w:rsidRDefault="00DE1DE0" w:rsidP="009B1D9F">
      <w:pPr>
        <w:pStyle w:val="Prrafodelista"/>
        <w:numPr>
          <w:ilvl w:val="0"/>
          <w:numId w:val="26"/>
        </w:numPr>
        <w:autoSpaceDE w:val="0"/>
        <w:autoSpaceDN w:val="0"/>
        <w:adjustRightInd w:val="0"/>
        <w:spacing w:line="360" w:lineRule="auto"/>
        <w:jc w:val="both"/>
        <w:rPr>
          <w:rFonts w:ascii="Century Gothic" w:eastAsiaTheme="minorHAnsi" w:hAnsi="Century Gothic"/>
          <w:sz w:val="20"/>
          <w:szCs w:val="20"/>
          <w:lang w:eastAsia="en-US"/>
        </w:rPr>
      </w:pPr>
      <w:r w:rsidRPr="009B1D9F">
        <w:rPr>
          <w:rFonts w:ascii="Century Gothic" w:eastAsiaTheme="minorHAnsi" w:hAnsi="Century Gothic"/>
          <w:sz w:val="20"/>
          <w:szCs w:val="20"/>
          <w:lang w:eastAsia="en-US"/>
        </w:rPr>
        <w:t>Elaboración del escenario PLAN 2030</w:t>
      </w:r>
    </w:p>
    <w:p w14:paraId="33472C99" w14:textId="77777777" w:rsidR="006A3B27" w:rsidRPr="006D038C" w:rsidRDefault="006A3B27" w:rsidP="006D038C">
      <w:pPr>
        <w:autoSpaceDE w:val="0"/>
        <w:autoSpaceDN w:val="0"/>
        <w:adjustRightInd w:val="0"/>
        <w:spacing w:line="360" w:lineRule="auto"/>
        <w:jc w:val="both"/>
        <w:rPr>
          <w:rFonts w:ascii="Century Gothic" w:hAnsi="Century Gothic"/>
          <w:b/>
          <w:bCs/>
          <w:sz w:val="20"/>
          <w:szCs w:val="20"/>
        </w:rPr>
      </w:pPr>
    </w:p>
    <w:p w14:paraId="69CD0EDA" w14:textId="77777777" w:rsidR="006A3B27" w:rsidRPr="006D038C" w:rsidRDefault="006A3B27" w:rsidP="006D038C">
      <w:pPr>
        <w:autoSpaceDE w:val="0"/>
        <w:autoSpaceDN w:val="0"/>
        <w:adjustRightInd w:val="0"/>
        <w:spacing w:line="360" w:lineRule="auto"/>
        <w:jc w:val="both"/>
        <w:rPr>
          <w:rFonts w:ascii="Century Gothic" w:hAnsi="Century Gothic"/>
          <w:b/>
          <w:bCs/>
          <w:sz w:val="20"/>
          <w:szCs w:val="20"/>
        </w:rPr>
      </w:pPr>
    </w:p>
    <w:p w14:paraId="60CEAA54" w14:textId="4C86C8AA" w:rsidR="003F038A" w:rsidRPr="006D038C" w:rsidRDefault="00DE1DE0" w:rsidP="006D038C">
      <w:pPr>
        <w:autoSpaceDE w:val="0"/>
        <w:autoSpaceDN w:val="0"/>
        <w:adjustRightInd w:val="0"/>
        <w:spacing w:line="360" w:lineRule="auto"/>
        <w:jc w:val="both"/>
        <w:rPr>
          <w:rFonts w:ascii="Century Gothic" w:hAnsi="Century Gothic"/>
          <w:b/>
          <w:bCs/>
          <w:sz w:val="20"/>
          <w:szCs w:val="20"/>
        </w:rPr>
      </w:pPr>
      <w:r w:rsidRPr="006D038C">
        <w:rPr>
          <w:rFonts w:ascii="Century Gothic" w:hAnsi="Century Gothic"/>
          <w:b/>
          <w:bCs/>
          <w:sz w:val="20"/>
          <w:szCs w:val="20"/>
        </w:rPr>
        <w:t>4. Plan de Acción</w:t>
      </w:r>
    </w:p>
    <w:p w14:paraId="196E2810" w14:textId="32039D9E" w:rsidR="00DE1DE0" w:rsidRPr="006D038C" w:rsidRDefault="00DE1DE0" w:rsidP="006D038C">
      <w:pPr>
        <w:autoSpaceDE w:val="0"/>
        <w:autoSpaceDN w:val="0"/>
        <w:adjustRightInd w:val="0"/>
        <w:spacing w:line="360" w:lineRule="auto"/>
        <w:jc w:val="both"/>
        <w:rPr>
          <w:rFonts w:ascii="Century Gothic" w:hAnsi="Century Gothic"/>
          <w:sz w:val="20"/>
          <w:szCs w:val="20"/>
        </w:rPr>
      </w:pPr>
    </w:p>
    <w:p w14:paraId="4FC28BE4" w14:textId="390C2469" w:rsidR="00DE1DE0" w:rsidRPr="006D038C" w:rsidRDefault="00DE1DE0" w:rsidP="00B67199">
      <w:pPr>
        <w:pStyle w:val="Prrafodelista"/>
        <w:numPr>
          <w:ilvl w:val="0"/>
          <w:numId w:val="27"/>
        </w:num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Elaboración del esquema del Plan de acuerdo a la estructura de los planes de acción para la sostenibilidad (línea estratégica-programa-acción).</w:t>
      </w:r>
    </w:p>
    <w:p w14:paraId="2DF4E30F" w14:textId="2249C676" w:rsidR="00DE1DE0" w:rsidRPr="006D038C" w:rsidRDefault="00DE1DE0" w:rsidP="00B67199">
      <w:pPr>
        <w:pStyle w:val="Prrafodelista"/>
        <w:numPr>
          <w:ilvl w:val="0"/>
          <w:numId w:val="27"/>
        </w:num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Caracterización de las acciones (campos comunes + campos específicos mitigación y adaptación)</w:t>
      </w:r>
    </w:p>
    <w:p w14:paraId="51F24F74" w14:textId="3FF1F56F" w:rsidR="00DE1DE0" w:rsidRPr="006D038C" w:rsidRDefault="00DE1DE0" w:rsidP="00B67199">
      <w:pPr>
        <w:pStyle w:val="Prrafodelista"/>
        <w:numPr>
          <w:ilvl w:val="0"/>
          <w:numId w:val="27"/>
        </w:num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Cálculo de reducciones de emisiones de GEI globales, por sectores y por acción y ajuste del alcance del Plan.</w:t>
      </w:r>
    </w:p>
    <w:p w14:paraId="7EF33B0E" w14:textId="77777777" w:rsidR="00296DBB" w:rsidRPr="006D038C" w:rsidRDefault="00296DBB" w:rsidP="006D038C">
      <w:pPr>
        <w:autoSpaceDE w:val="0"/>
        <w:autoSpaceDN w:val="0"/>
        <w:adjustRightInd w:val="0"/>
        <w:spacing w:line="360" w:lineRule="auto"/>
        <w:jc w:val="both"/>
        <w:rPr>
          <w:rFonts w:ascii="Century Gothic" w:eastAsiaTheme="minorHAnsi" w:hAnsi="Century Gothic"/>
          <w:b/>
          <w:bCs/>
          <w:sz w:val="20"/>
          <w:szCs w:val="20"/>
          <w:lang w:eastAsia="en-US"/>
        </w:rPr>
      </w:pPr>
    </w:p>
    <w:p w14:paraId="76749FB7" w14:textId="2A1190F8" w:rsidR="00DE1DE0" w:rsidRPr="006D038C" w:rsidRDefault="00DE1DE0" w:rsidP="006D038C">
      <w:pPr>
        <w:autoSpaceDE w:val="0"/>
        <w:autoSpaceDN w:val="0"/>
        <w:adjustRightInd w:val="0"/>
        <w:spacing w:line="360" w:lineRule="auto"/>
        <w:jc w:val="both"/>
        <w:rPr>
          <w:rFonts w:ascii="Century Gothic" w:eastAsiaTheme="minorHAnsi" w:hAnsi="Century Gothic"/>
          <w:b/>
          <w:bCs/>
          <w:sz w:val="20"/>
          <w:szCs w:val="20"/>
          <w:lang w:eastAsia="en-US"/>
        </w:rPr>
      </w:pPr>
      <w:r w:rsidRPr="006D038C">
        <w:rPr>
          <w:rFonts w:ascii="Century Gothic" w:eastAsiaTheme="minorHAnsi" w:hAnsi="Century Gothic"/>
          <w:b/>
          <w:bCs/>
          <w:sz w:val="20"/>
          <w:szCs w:val="20"/>
          <w:lang w:eastAsia="en-US"/>
        </w:rPr>
        <w:t xml:space="preserve">5. Comunicación y </w:t>
      </w:r>
      <w:r w:rsidR="00296DBB" w:rsidRPr="006D038C">
        <w:rPr>
          <w:rFonts w:ascii="Century Gothic" w:eastAsiaTheme="minorHAnsi" w:hAnsi="Century Gothic"/>
          <w:b/>
          <w:bCs/>
          <w:sz w:val="20"/>
          <w:szCs w:val="20"/>
          <w:lang w:eastAsia="en-US"/>
        </w:rPr>
        <w:t>participación interna y ciudadana</w:t>
      </w:r>
    </w:p>
    <w:p w14:paraId="6EBA7553" w14:textId="0233F2C8" w:rsidR="00296DBB" w:rsidRPr="004E6E2B" w:rsidRDefault="00296DBB" w:rsidP="004E6E2B">
      <w:pPr>
        <w:autoSpaceDE w:val="0"/>
        <w:autoSpaceDN w:val="0"/>
        <w:adjustRightInd w:val="0"/>
        <w:spacing w:line="360" w:lineRule="auto"/>
        <w:ind w:left="360"/>
        <w:jc w:val="both"/>
        <w:rPr>
          <w:rFonts w:ascii="Century Gothic" w:eastAsiaTheme="minorHAnsi" w:hAnsi="Century Gothic"/>
          <w:sz w:val="20"/>
          <w:szCs w:val="20"/>
          <w:lang w:eastAsia="en-US"/>
        </w:rPr>
      </w:pPr>
    </w:p>
    <w:p w14:paraId="1DF59F6D" w14:textId="0BF49A49" w:rsidR="00296DBB" w:rsidRPr="006D038C" w:rsidRDefault="00296DBB" w:rsidP="004E6E2B">
      <w:pPr>
        <w:pStyle w:val="Prrafodelista"/>
        <w:numPr>
          <w:ilvl w:val="0"/>
          <w:numId w:val="28"/>
        </w:num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Diseño de un plan de participación y comunicación interna y ciudadana.</w:t>
      </w:r>
    </w:p>
    <w:p w14:paraId="6ED892F9" w14:textId="6E326C97" w:rsidR="00296DBB" w:rsidRPr="006D038C" w:rsidRDefault="00296DBB" w:rsidP="004E6E2B">
      <w:pPr>
        <w:pStyle w:val="Prrafodelista"/>
        <w:numPr>
          <w:ilvl w:val="0"/>
          <w:numId w:val="28"/>
        </w:num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Reuniones de trabajo con Comisión técnica interna.</w:t>
      </w:r>
    </w:p>
    <w:p w14:paraId="2E17BBB9" w14:textId="54B3444F" w:rsidR="00296DBB" w:rsidRPr="006D038C" w:rsidRDefault="00CC3C49" w:rsidP="004E6E2B">
      <w:pPr>
        <w:pStyle w:val="Prrafodelista"/>
        <w:numPr>
          <w:ilvl w:val="0"/>
          <w:numId w:val="28"/>
        </w:num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Sesiones de participación con ciudadanía y agentes clave.</w:t>
      </w:r>
    </w:p>
    <w:p w14:paraId="54405620" w14:textId="5B0E5B6E" w:rsidR="00CC3C49" w:rsidRPr="006D038C" w:rsidRDefault="00CC3C49" w:rsidP="004E6E2B">
      <w:pPr>
        <w:pStyle w:val="Prrafodelista"/>
        <w:numPr>
          <w:ilvl w:val="0"/>
          <w:numId w:val="28"/>
        </w:num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Acciones de comunicación y sensibilización.</w:t>
      </w:r>
    </w:p>
    <w:p w14:paraId="4D659CE4" w14:textId="4E40C45F" w:rsidR="00CC3C49" w:rsidRPr="006D038C" w:rsidRDefault="00CC3C49" w:rsidP="006D038C">
      <w:pPr>
        <w:autoSpaceDE w:val="0"/>
        <w:autoSpaceDN w:val="0"/>
        <w:adjustRightInd w:val="0"/>
        <w:spacing w:line="360" w:lineRule="auto"/>
        <w:jc w:val="both"/>
        <w:rPr>
          <w:rFonts w:ascii="Century Gothic" w:eastAsiaTheme="minorHAnsi" w:hAnsi="Century Gothic"/>
          <w:sz w:val="20"/>
          <w:szCs w:val="20"/>
          <w:lang w:eastAsia="en-US"/>
        </w:rPr>
      </w:pPr>
    </w:p>
    <w:p w14:paraId="25BA5FC8" w14:textId="1D9AC581" w:rsidR="00CC3C49" w:rsidRPr="006D038C" w:rsidRDefault="00CC3C49" w:rsidP="006D038C">
      <w:pPr>
        <w:autoSpaceDE w:val="0"/>
        <w:autoSpaceDN w:val="0"/>
        <w:adjustRightInd w:val="0"/>
        <w:spacing w:line="360" w:lineRule="auto"/>
        <w:jc w:val="both"/>
        <w:rPr>
          <w:rFonts w:ascii="Century Gothic" w:eastAsiaTheme="minorHAnsi" w:hAnsi="Century Gothic"/>
          <w:b/>
          <w:bCs/>
          <w:sz w:val="20"/>
          <w:szCs w:val="20"/>
          <w:lang w:eastAsia="en-US"/>
        </w:rPr>
      </w:pPr>
      <w:r w:rsidRPr="006D038C">
        <w:rPr>
          <w:rFonts w:ascii="Century Gothic" w:eastAsiaTheme="minorHAnsi" w:hAnsi="Century Gothic"/>
          <w:b/>
          <w:bCs/>
          <w:sz w:val="20"/>
          <w:szCs w:val="20"/>
          <w:lang w:eastAsia="en-US"/>
        </w:rPr>
        <w:t>6. Modelo de seguimiento del Plan y organización de la gestión energética municipal para su impulso</w:t>
      </w:r>
    </w:p>
    <w:p w14:paraId="5597B1C4" w14:textId="378B861E" w:rsidR="00CC3C49" w:rsidRPr="006D038C" w:rsidRDefault="00CC3C49" w:rsidP="006D038C">
      <w:pPr>
        <w:autoSpaceDE w:val="0"/>
        <w:autoSpaceDN w:val="0"/>
        <w:adjustRightInd w:val="0"/>
        <w:spacing w:line="360" w:lineRule="auto"/>
        <w:jc w:val="both"/>
        <w:rPr>
          <w:rFonts w:ascii="Century Gothic" w:eastAsiaTheme="minorHAnsi" w:hAnsi="Century Gothic"/>
          <w:b/>
          <w:bCs/>
          <w:sz w:val="20"/>
          <w:szCs w:val="20"/>
          <w:lang w:eastAsia="en-US"/>
        </w:rPr>
      </w:pPr>
    </w:p>
    <w:p w14:paraId="7EA50589" w14:textId="729E1A2A" w:rsidR="00CC3C49" w:rsidRPr="006D038C" w:rsidRDefault="0016704D" w:rsidP="004E6E2B">
      <w:pPr>
        <w:pStyle w:val="Prrafodelista"/>
        <w:numPr>
          <w:ilvl w:val="0"/>
          <w:numId w:val="29"/>
        </w:num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Articulación de un modelo de seguimiento basado en el modelo de evaluación y seguimiento de planes de sostenibilidad local de Udalsarea 2030.</w:t>
      </w:r>
    </w:p>
    <w:p w14:paraId="674B96EB" w14:textId="59E9961A" w:rsidR="0016704D" w:rsidRPr="006D038C" w:rsidRDefault="0016704D" w:rsidP="006D038C">
      <w:pPr>
        <w:autoSpaceDE w:val="0"/>
        <w:autoSpaceDN w:val="0"/>
        <w:adjustRightInd w:val="0"/>
        <w:spacing w:line="360" w:lineRule="auto"/>
        <w:jc w:val="both"/>
        <w:rPr>
          <w:rFonts w:ascii="Century Gothic" w:eastAsiaTheme="minorHAnsi" w:hAnsi="Century Gothic"/>
          <w:sz w:val="20"/>
          <w:szCs w:val="20"/>
          <w:lang w:eastAsia="en-US"/>
        </w:rPr>
      </w:pPr>
    </w:p>
    <w:p w14:paraId="71305063" w14:textId="3BED2DC1" w:rsidR="0016704D" w:rsidRPr="006D038C" w:rsidRDefault="0016704D" w:rsidP="006D038C">
      <w:pPr>
        <w:autoSpaceDE w:val="0"/>
        <w:autoSpaceDN w:val="0"/>
        <w:adjustRightInd w:val="0"/>
        <w:spacing w:line="360" w:lineRule="auto"/>
        <w:jc w:val="both"/>
        <w:rPr>
          <w:rFonts w:ascii="Century Gothic" w:eastAsiaTheme="minorHAnsi" w:hAnsi="Century Gothic"/>
          <w:b/>
          <w:bCs/>
          <w:sz w:val="20"/>
          <w:szCs w:val="20"/>
          <w:lang w:eastAsia="en-US"/>
        </w:rPr>
      </w:pPr>
      <w:r w:rsidRPr="006D038C">
        <w:rPr>
          <w:rFonts w:ascii="Century Gothic" w:eastAsiaTheme="minorHAnsi" w:hAnsi="Century Gothic"/>
          <w:b/>
          <w:bCs/>
          <w:sz w:val="20"/>
          <w:szCs w:val="20"/>
          <w:lang w:eastAsia="en-US"/>
        </w:rPr>
        <w:t>7. Redacción del documento final del Plan de Acción de Clima y Energía de Legutio y de un documento sintético de carácter divulgativo</w:t>
      </w:r>
    </w:p>
    <w:p w14:paraId="1501252D" w14:textId="67FBDD94" w:rsidR="0016704D" w:rsidRPr="006D038C" w:rsidRDefault="0016704D" w:rsidP="006D038C">
      <w:pPr>
        <w:autoSpaceDE w:val="0"/>
        <w:autoSpaceDN w:val="0"/>
        <w:adjustRightInd w:val="0"/>
        <w:spacing w:line="360" w:lineRule="auto"/>
        <w:jc w:val="both"/>
        <w:rPr>
          <w:rFonts w:ascii="Century Gothic" w:eastAsiaTheme="minorHAnsi" w:hAnsi="Century Gothic"/>
          <w:b/>
          <w:bCs/>
          <w:sz w:val="20"/>
          <w:szCs w:val="20"/>
          <w:lang w:eastAsia="en-US"/>
        </w:rPr>
      </w:pPr>
    </w:p>
    <w:p w14:paraId="44705361" w14:textId="243B7733" w:rsidR="0016704D" w:rsidRPr="006D038C" w:rsidRDefault="0016704D" w:rsidP="006D038C">
      <w:pPr>
        <w:autoSpaceDE w:val="0"/>
        <w:autoSpaceDN w:val="0"/>
        <w:adjustRightInd w:val="0"/>
        <w:spacing w:line="360" w:lineRule="auto"/>
        <w:jc w:val="both"/>
        <w:rPr>
          <w:rFonts w:ascii="Century Gothic" w:eastAsiaTheme="minorHAnsi" w:hAnsi="Century Gothic"/>
          <w:b/>
          <w:bCs/>
          <w:sz w:val="20"/>
          <w:szCs w:val="20"/>
          <w:lang w:eastAsia="en-US"/>
        </w:rPr>
      </w:pPr>
    </w:p>
    <w:p w14:paraId="19207E22" w14:textId="34A60DF0" w:rsidR="0016704D" w:rsidRPr="001344D9" w:rsidRDefault="0016704D" w:rsidP="001344D9">
      <w:pPr>
        <w:pStyle w:val="Ttulo1"/>
        <w:rPr>
          <w:rFonts w:ascii="Century Gothic" w:hAnsi="Century Gothic"/>
          <w:b/>
          <w:color w:val="auto"/>
          <w:sz w:val="22"/>
          <w:szCs w:val="22"/>
        </w:rPr>
      </w:pPr>
      <w:bookmarkStart w:id="9" w:name="_Toc118290676"/>
      <w:r w:rsidRPr="001344D9">
        <w:rPr>
          <w:rFonts w:ascii="Century Gothic" w:hAnsi="Century Gothic"/>
          <w:b/>
          <w:color w:val="auto"/>
          <w:sz w:val="22"/>
          <w:szCs w:val="22"/>
        </w:rPr>
        <w:lastRenderedPageBreak/>
        <w:t>4. CONDICIONES AMBIENTALES DE LA EJECUCIÓN DEL CONTRATO</w:t>
      </w:r>
      <w:bookmarkEnd w:id="9"/>
    </w:p>
    <w:p w14:paraId="61718D66" w14:textId="5C4A5A65" w:rsidR="0016704D" w:rsidRPr="006D038C" w:rsidRDefault="0016704D" w:rsidP="006D038C">
      <w:pPr>
        <w:spacing w:line="360" w:lineRule="auto"/>
        <w:jc w:val="both"/>
        <w:rPr>
          <w:rFonts w:ascii="Century Gothic" w:hAnsi="Century Gothic"/>
          <w:b/>
          <w:caps/>
          <w:sz w:val="20"/>
          <w:szCs w:val="20"/>
          <w:u w:val="single"/>
        </w:rPr>
      </w:pPr>
    </w:p>
    <w:p w14:paraId="2B7AB474" w14:textId="170D2EF9" w:rsidR="0016704D" w:rsidRPr="006D038C" w:rsidRDefault="0051757F" w:rsidP="006D038C">
      <w:p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En coherencia con el fin que la redacción del PEC persigue, es decir, la reducción de emisiones en el municipio, la empresa adjudicataria deberá aplicar las siguientes condiciones de ambientalización del trabajo:</w:t>
      </w:r>
    </w:p>
    <w:p w14:paraId="6FCFCB77" w14:textId="11BD793D" w:rsidR="0051757F" w:rsidRPr="006D038C" w:rsidRDefault="0051757F" w:rsidP="006D038C">
      <w:pPr>
        <w:autoSpaceDE w:val="0"/>
        <w:autoSpaceDN w:val="0"/>
        <w:adjustRightInd w:val="0"/>
        <w:spacing w:line="360" w:lineRule="auto"/>
        <w:jc w:val="both"/>
        <w:rPr>
          <w:rFonts w:ascii="Century Gothic" w:eastAsiaTheme="minorHAnsi" w:hAnsi="Century Gothic"/>
          <w:sz w:val="20"/>
          <w:szCs w:val="20"/>
          <w:lang w:eastAsia="en-US"/>
        </w:rPr>
      </w:pPr>
    </w:p>
    <w:p w14:paraId="28AFCF70" w14:textId="77777777" w:rsidR="0051757F" w:rsidRPr="006D038C" w:rsidRDefault="0051757F" w:rsidP="006D038C">
      <w:pPr>
        <w:pStyle w:val="Prrafodelista"/>
        <w:numPr>
          <w:ilvl w:val="0"/>
          <w:numId w:val="10"/>
        </w:num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 xml:space="preserve">Seguir el criterio de ahorro de papel: todos los documentos de trabajo generados durante el proyecto se entregarán en soporte digital en formato </w:t>
      </w:r>
      <w:proofErr w:type="spellStart"/>
      <w:r w:rsidRPr="006D038C">
        <w:rPr>
          <w:rFonts w:ascii="Century Gothic" w:eastAsiaTheme="minorHAnsi" w:hAnsi="Century Gothic"/>
          <w:sz w:val="20"/>
          <w:szCs w:val="20"/>
          <w:lang w:eastAsia="en-US"/>
        </w:rPr>
        <w:t>pdf</w:t>
      </w:r>
      <w:proofErr w:type="spellEnd"/>
      <w:r w:rsidRPr="006D038C">
        <w:rPr>
          <w:rFonts w:ascii="Century Gothic" w:eastAsiaTheme="minorHAnsi" w:hAnsi="Century Gothic"/>
          <w:sz w:val="20"/>
          <w:szCs w:val="20"/>
          <w:lang w:eastAsia="en-US"/>
        </w:rPr>
        <w:t xml:space="preserve"> por correo electrónico o si no en PENDRIVE o similar regrabables y abiertos para poder reutilizarlos posteriormente.</w:t>
      </w:r>
    </w:p>
    <w:p w14:paraId="053B825B" w14:textId="77777777" w:rsidR="0051757F" w:rsidRPr="006D038C" w:rsidRDefault="0051757F" w:rsidP="006D038C">
      <w:pPr>
        <w:pStyle w:val="Prrafodelista"/>
        <w:autoSpaceDE w:val="0"/>
        <w:autoSpaceDN w:val="0"/>
        <w:adjustRightInd w:val="0"/>
        <w:spacing w:line="360" w:lineRule="auto"/>
        <w:jc w:val="both"/>
        <w:rPr>
          <w:rFonts w:ascii="Century Gothic" w:eastAsiaTheme="minorHAnsi" w:hAnsi="Century Gothic"/>
          <w:sz w:val="20"/>
          <w:szCs w:val="20"/>
          <w:lang w:eastAsia="en-US"/>
        </w:rPr>
      </w:pPr>
    </w:p>
    <w:p w14:paraId="38517713" w14:textId="77777777" w:rsidR="0051757F" w:rsidRPr="006D038C" w:rsidRDefault="0051757F" w:rsidP="006D038C">
      <w:pPr>
        <w:pStyle w:val="Prrafodelista"/>
        <w:numPr>
          <w:ilvl w:val="0"/>
          <w:numId w:val="10"/>
        </w:num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 xml:space="preserve">Los documentos finales se entregarán en soporte digital en formato </w:t>
      </w:r>
      <w:proofErr w:type="spellStart"/>
      <w:r w:rsidRPr="006D038C">
        <w:rPr>
          <w:rFonts w:ascii="Century Gothic" w:eastAsiaTheme="minorHAnsi" w:hAnsi="Century Gothic"/>
          <w:sz w:val="20"/>
          <w:szCs w:val="20"/>
          <w:lang w:eastAsia="en-US"/>
        </w:rPr>
        <w:t>pdf</w:t>
      </w:r>
      <w:proofErr w:type="spellEnd"/>
      <w:r w:rsidRPr="006D038C">
        <w:rPr>
          <w:rFonts w:ascii="Century Gothic" w:eastAsiaTheme="minorHAnsi" w:hAnsi="Century Gothic"/>
          <w:sz w:val="20"/>
          <w:szCs w:val="20"/>
          <w:lang w:eastAsia="en-US"/>
        </w:rPr>
        <w:t xml:space="preserve"> y office por correo electrónico o si no en  PENDRIVE o similar regrabables y abiertos para poder reutilizarlos posteriormente. </w:t>
      </w:r>
      <w:proofErr w:type="spellStart"/>
      <w:r w:rsidRPr="006D038C">
        <w:rPr>
          <w:rFonts w:ascii="Century Gothic" w:eastAsiaTheme="minorHAnsi" w:hAnsi="Century Gothic"/>
          <w:sz w:val="20"/>
          <w:szCs w:val="20"/>
          <w:lang w:eastAsia="en-US"/>
        </w:rPr>
        <w:t>Aún</w:t>
      </w:r>
      <w:proofErr w:type="spellEnd"/>
      <w:r w:rsidRPr="006D038C">
        <w:rPr>
          <w:rFonts w:ascii="Century Gothic" w:eastAsiaTheme="minorHAnsi" w:hAnsi="Century Gothic"/>
          <w:sz w:val="20"/>
          <w:szCs w:val="20"/>
          <w:lang w:eastAsia="en-US"/>
        </w:rPr>
        <w:t xml:space="preserve"> así y debido al carácter oficial de los documentos se considera necesario entregar dos copias en formato papel.</w:t>
      </w:r>
    </w:p>
    <w:p w14:paraId="2851DD8F" w14:textId="77777777" w:rsidR="0051757F" w:rsidRPr="006D038C" w:rsidRDefault="0051757F" w:rsidP="006D038C">
      <w:pPr>
        <w:pStyle w:val="Prrafodelista"/>
        <w:spacing w:line="360" w:lineRule="auto"/>
        <w:rPr>
          <w:rFonts w:ascii="Century Gothic" w:eastAsiaTheme="minorHAnsi" w:hAnsi="Century Gothic" w:cs="ArialMT"/>
          <w:sz w:val="20"/>
          <w:szCs w:val="20"/>
          <w:lang w:eastAsia="en-US"/>
        </w:rPr>
      </w:pPr>
    </w:p>
    <w:p w14:paraId="25B8A347" w14:textId="75E92A34" w:rsidR="0051757F" w:rsidRPr="006D038C" w:rsidRDefault="0051757F" w:rsidP="006D038C">
      <w:pPr>
        <w:pStyle w:val="Prrafodelista"/>
        <w:numPr>
          <w:ilvl w:val="0"/>
          <w:numId w:val="10"/>
        </w:num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Programar las visitas y las reuniones de la Comisión de Seguimiento con anticipación, para facilitar el máximo aprovechamiento y evitar desplazamientos innecesarios.</w:t>
      </w:r>
    </w:p>
    <w:p w14:paraId="18589388" w14:textId="0C500545" w:rsidR="0016704D" w:rsidRPr="006D038C" w:rsidRDefault="0016704D" w:rsidP="006D038C">
      <w:pPr>
        <w:autoSpaceDE w:val="0"/>
        <w:autoSpaceDN w:val="0"/>
        <w:adjustRightInd w:val="0"/>
        <w:spacing w:line="360" w:lineRule="auto"/>
        <w:jc w:val="both"/>
        <w:rPr>
          <w:rFonts w:ascii="Century Gothic" w:eastAsiaTheme="minorHAnsi" w:hAnsi="Century Gothic"/>
          <w:sz w:val="20"/>
          <w:szCs w:val="20"/>
          <w:lang w:eastAsia="en-US"/>
        </w:rPr>
      </w:pPr>
    </w:p>
    <w:p w14:paraId="74E6EB20" w14:textId="1072D9C9" w:rsidR="0051757F" w:rsidRPr="006D038C" w:rsidRDefault="0051757F" w:rsidP="006D038C">
      <w:p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En caso de que se considere necesaria la impresión de documentos se realizará cumpliendo con los siguientes requisitos:</w:t>
      </w:r>
    </w:p>
    <w:p w14:paraId="2119A21A" w14:textId="6F6C8E1E" w:rsidR="0051757F" w:rsidRPr="006D038C" w:rsidRDefault="0051757F" w:rsidP="006D038C">
      <w:pPr>
        <w:autoSpaceDE w:val="0"/>
        <w:autoSpaceDN w:val="0"/>
        <w:adjustRightInd w:val="0"/>
        <w:spacing w:line="360" w:lineRule="auto"/>
        <w:jc w:val="both"/>
        <w:rPr>
          <w:rFonts w:ascii="Century Gothic" w:eastAsiaTheme="minorHAnsi" w:hAnsi="Century Gothic"/>
          <w:sz w:val="20"/>
          <w:szCs w:val="20"/>
          <w:lang w:eastAsia="en-US"/>
        </w:rPr>
      </w:pPr>
    </w:p>
    <w:p w14:paraId="783E2EF3" w14:textId="77777777" w:rsidR="0051757F" w:rsidRPr="006D038C" w:rsidRDefault="0051757F" w:rsidP="006D038C">
      <w:pPr>
        <w:pStyle w:val="Prrafodelista"/>
        <w:numPr>
          <w:ilvl w:val="0"/>
          <w:numId w:val="10"/>
        </w:num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Reducir en lo posible el número de impresiones ajustándolas al máximo a las necesidades (número de participantes en una reunión, etc.) para que no haya copias sobrantes.</w:t>
      </w:r>
    </w:p>
    <w:p w14:paraId="74DEBD1F" w14:textId="77777777" w:rsidR="0051757F" w:rsidRPr="006D038C" w:rsidRDefault="0051757F" w:rsidP="006D038C">
      <w:pPr>
        <w:pStyle w:val="Prrafodelista"/>
        <w:autoSpaceDE w:val="0"/>
        <w:autoSpaceDN w:val="0"/>
        <w:adjustRightInd w:val="0"/>
        <w:spacing w:line="360" w:lineRule="auto"/>
        <w:jc w:val="both"/>
        <w:rPr>
          <w:rFonts w:ascii="Century Gothic" w:eastAsiaTheme="minorHAnsi" w:hAnsi="Century Gothic"/>
          <w:sz w:val="20"/>
          <w:szCs w:val="20"/>
          <w:lang w:eastAsia="en-US"/>
        </w:rPr>
      </w:pPr>
    </w:p>
    <w:p w14:paraId="492D0F3F" w14:textId="77777777" w:rsidR="00CC129D" w:rsidRPr="006D038C" w:rsidRDefault="0051757F" w:rsidP="006D038C">
      <w:pPr>
        <w:pStyle w:val="Prrafodelista"/>
        <w:numPr>
          <w:ilvl w:val="0"/>
          <w:numId w:val="10"/>
        </w:num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Imprimir los documentos a doble cara,</w:t>
      </w:r>
      <w:r w:rsidR="00CC129D" w:rsidRPr="006D038C">
        <w:rPr>
          <w:rFonts w:ascii="Century Gothic" w:eastAsiaTheme="minorHAnsi" w:hAnsi="Century Gothic"/>
          <w:sz w:val="20"/>
          <w:szCs w:val="20"/>
          <w:lang w:eastAsia="en-US"/>
        </w:rPr>
        <w:t xml:space="preserve"> </w:t>
      </w:r>
      <w:r w:rsidRPr="006D038C">
        <w:rPr>
          <w:rFonts w:ascii="Century Gothic" w:eastAsiaTheme="minorHAnsi" w:hAnsi="Century Gothic"/>
          <w:sz w:val="20"/>
          <w:szCs w:val="20"/>
          <w:lang w:eastAsia="en-US"/>
        </w:rPr>
        <w:t>en blanco y negro (el color solo se</w:t>
      </w:r>
      <w:r w:rsidR="00CC129D" w:rsidRPr="006D038C">
        <w:rPr>
          <w:rFonts w:ascii="Century Gothic" w:eastAsiaTheme="minorHAnsi" w:hAnsi="Century Gothic"/>
          <w:sz w:val="20"/>
          <w:szCs w:val="20"/>
          <w:lang w:eastAsia="en-US"/>
        </w:rPr>
        <w:t xml:space="preserve"> </w:t>
      </w:r>
      <w:r w:rsidRPr="006D038C">
        <w:rPr>
          <w:rFonts w:ascii="Century Gothic" w:eastAsiaTheme="minorHAnsi" w:hAnsi="Century Gothic"/>
          <w:sz w:val="20"/>
          <w:szCs w:val="20"/>
          <w:lang w:eastAsia="en-US"/>
        </w:rPr>
        <w:t>utilizará en casos en los que no se</w:t>
      </w:r>
      <w:r w:rsidR="00CC129D" w:rsidRPr="006D038C">
        <w:rPr>
          <w:rFonts w:ascii="Century Gothic" w:eastAsiaTheme="minorHAnsi" w:hAnsi="Century Gothic"/>
          <w:sz w:val="20"/>
          <w:szCs w:val="20"/>
          <w:lang w:eastAsia="en-US"/>
        </w:rPr>
        <w:t xml:space="preserve"> </w:t>
      </w:r>
      <w:r w:rsidRPr="006D038C">
        <w:rPr>
          <w:rFonts w:ascii="Century Gothic" w:eastAsiaTheme="minorHAnsi" w:hAnsi="Century Gothic"/>
          <w:sz w:val="20"/>
          <w:szCs w:val="20"/>
          <w:lang w:eastAsia="en-US"/>
        </w:rPr>
        <w:t>pueda interpretar en blanco y negro),</w:t>
      </w:r>
      <w:r w:rsidR="00CC129D" w:rsidRPr="006D038C">
        <w:rPr>
          <w:rFonts w:ascii="Century Gothic" w:eastAsiaTheme="minorHAnsi" w:hAnsi="Century Gothic"/>
          <w:sz w:val="20"/>
          <w:szCs w:val="20"/>
          <w:lang w:eastAsia="en-US"/>
        </w:rPr>
        <w:t xml:space="preserve"> </w:t>
      </w:r>
      <w:r w:rsidRPr="006D038C">
        <w:rPr>
          <w:rFonts w:ascii="Century Gothic" w:eastAsiaTheme="minorHAnsi" w:hAnsi="Century Gothic"/>
          <w:sz w:val="20"/>
          <w:szCs w:val="20"/>
          <w:lang w:eastAsia="en-US"/>
        </w:rPr>
        <w:t>a 2 páginas por cara (siempre que se</w:t>
      </w:r>
      <w:r w:rsidR="00CC129D" w:rsidRPr="006D038C">
        <w:rPr>
          <w:rFonts w:ascii="Century Gothic" w:eastAsiaTheme="minorHAnsi" w:hAnsi="Century Gothic"/>
          <w:sz w:val="20"/>
          <w:szCs w:val="20"/>
          <w:lang w:eastAsia="en-US"/>
        </w:rPr>
        <w:t xml:space="preserve"> </w:t>
      </w:r>
      <w:r w:rsidRPr="006D038C">
        <w:rPr>
          <w:rFonts w:ascii="Century Gothic" w:eastAsiaTheme="minorHAnsi" w:hAnsi="Century Gothic"/>
          <w:sz w:val="20"/>
          <w:szCs w:val="20"/>
          <w:lang w:eastAsia="en-US"/>
        </w:rPr>
        <w:t>garantice su inteligibilidad), con la</w:t>
      </w:r>
      <w:r w:rsidR="00CC129D" w:rsidRPr="006D038C">
        <w:rPr>
          <w:rFonts w:ascii="Century Gothic" w:eastAsiaTheme="minorHAnsi" w:hAnsi="Century Gothic"/>
          <w:sz w:val="20"/>
          <w:szCs w:val="20"/>
          <w:lang w:eastAsia="en-US"/>
        </w:rPr>
        <w:t xml:space="preserve"> de </w:t>
      </w:r>
      <w:r w:rsidRPr="006D038C">
        <w:rPr>
          <w:rFonts w:ascii="Century Gothic" w:eastAsiaTheme="minorHAnsi" w:hAnsi="Century Gothic"/>
          <w:sz w:val="20"/>
          <w:szCs w:val="20"/>
          <w:lang w:eastAsia="en-US"/>
        </w:rPr>
        <w:t>mínima encuadernación posible y sin</w:t>
      </w:r>
      <w:r w:rsidR="00CC129D" w:rsidRPr="006D038C">
        <w:rPr>
          <w:rFonts w:ascii="Century Gothic" w:eastAsiaTheme="minorHAnsi" w:hAnsi="Century Gothic"/>
          <w:sz w:val="20"/>
          <w:szCs w:val="20"/>
          <w:lang w:eastAsia="en-US"/>
        </w:rPr>
        <w:t xml:space="preserve"> </w:t>
      </w:r>
      <w:r w:rsidRPr="006D038C">
        <w:rPr>
          <w:rFonts w:ascii="Century Gothic" w:eastAsiaTheme="minorHAnsi" w:hAnsi="Century Gothic"/>
          <w:sz w:val="20"/>
          <w:szCs w:val="20"/>
          <w:lang w:eastAsia="en-US"/>
        </w:rPr>
        <w:t>tapas de plástico (para facilitar su</w:t>
      </w:r>
      <w:r w:rsidR="00CC129D" w:rsidRPr="006D038C">
        <w:rPr>
          <w:rFonts w:ascii="Century Gothic" w:eastAsiaTheme="minorHAnsi" w:hAnsi="Century Gothic"/>
          <w:sz w:val="20"/>
          <w:szCs w:val="20"/>
          <w:lang w:eastAsia="en-US"/>
        </w:rPr>
        <w:t xml:space="preserve"> </w:t>
      </w:r>
      <w:r w:rsidRPr="006D038C">
        <w:rPr>
          <w:rFonts w:ascii="Century Gothic" w:eastAsiaTheme="minorHAnsi" w:hAnsi="Century Gothic"/>
          <w:sz w:val="20"/>
          <w:szCs w:val="20"/>
          <w:lang w:eastAsia="en-US"/>
        </w:rPr>
        <w:t>reciclaje).</w:t>
      </w:r>
    </w:p>
    <w:p w14:paraId="60AEC30B" w14:textId="77777777" w:rsidR="00CC129D" w:rsidRPr="006D038C" w:rsidRDefault="00CC129D" w:rsidP="006D038C">
      <w:pPr>
        <w:pStyle w:val="Prrafodelista"/>
        <w:spacing w:line="360" w:lineRule="auto"/>
        <w:rPr>
          <w:rFonts w:ascii="Century Gothic" w:eastAsiaTheme="minorHAnsi" w:hAnsi="Century Gothic" w:cs="ArialMT"/>
          <w:sz w:val="20"/>
          <w:szCs w:val="20"/>
          <w:lang w:eastAsia="en-US"/>
        </w:rPr>
      </w:pPr>
    </w:p>
    <w:p w14:paraId="69A4A97F" w14:textId="7E260277" w:rsidR="00CC129D" w:rsidRPr="006D038C" w:rsidRDefault="00CC129D" w:rsidP="006D038C">
      <w:pPr>
        <w:pStyle w:val="Prrafodelista"/>
        <w:numPr>
          <w:ilvl w:val="0"/>
          <w:numId w:val="10"/>
        </w:num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Las dos copias del documento final deberán de ser a doble cara y con la mínima encuadernación posible.</w:t>
      </w:r>
    </w:p>
    <w:p w14:paraId="08DEBBF5" w14:textId="77777777" w:rsidR="00CC129D" w:rsidRPr="006D038C" w:rsidRDefault="00CC129D" w:rsidP="006D038C">
      <w:pPr>
        <w:pStyle w:val="Prrafodelista"/>
        <w:spacing w:line="360" w:lineRule="auto"/>
        <w:rPr>
          <w:rFonts w:ascii="Century Gothic" w:eastAsiaTheme="minorHAnsi" w:hAnsi="Century Gothic"/>
          <w:sz w:val="20"/>
          <w:szCs w:val="20"/>
          <w:lang w:eastAsia="en-US"/>
        </w:rPr>
      </w:pPr>
    </w:p>
    <w:p w14:paraId="004241B0" w14:textId="2C922568" w:rsidR="00CC129D" w:rsidRPr="006D038C" w:rsidRDefault="00CC129D" w:rsidP="006D038C">
      <w:pPr>
        <w:pStyle w:val="Prrafodelista"/>
        <w:numPr>
          <w:ilvl w:val="0"/>
          <w:numId w:val="10"/>
        </w:num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El papel ha de cumplir los siguientes requisitos:</w:t>
      </w:r>
    </w:p>
    <w:p w14:paraId="291A86EE" w14:textId="77777777" w:rsidR="00CC129D" w:rsidRPr="006D038C" w:rsidRDefault="00CC129D" w:rsidP="006D038C">
      <w:pPr>
        <w:pStyle w:val="Prrafodelista"/>
        <w:spacing w:line="360" w:lineRule="auto"/>
        <w:rPr>
          <w:rFonts w:ascii="Century Gothic" w:eastAsiaTheme="minorHAnsi" w:hAnsi="Century Gothic"/>
          <w:sz w:val="20"/>
          <w:szCs w:val="20"/>
          <w:lang w:eastAsia="en-US"/>
        </w:rPr>
      </w:pPr>
    </w:p>
    <w:p w14:paraId="7DB1CD36" w14:textId="77B8E791" w:rsidR="00CC129D" w:rsidRPr="006D038C" w:rsidRDefault="00CC129D" w:rsidP="006D038C">
      <w:pPr>
        <w:pStyle w:val="Prrafodelista"/>
        <w:numPr>
          <w:ilvl w:val="0"/>
          <w:numId w:val="12"/>
        </w:num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Ser 100% reciclado. Solo se podrá utilizar papel no reciclado para planos no imprimibles en DIN A4 o DIN A3, u otros usos que requieran tipos de papel para los que no existe papel en calidad reciclado en el mercado. En estos casos, el papel deberá contener por lo menos un 30% de fibra de madera proveniente de explotaciones forestales sostenibles certificadas (FSC, PEFC o equivalente) y/o fibras recicladas.</w:t>
      </w:r>
    </w:p>
    <w:p w14:paraId="52CE2F4A" w14:textId="77777777" w:rsidR="00CC129D" w:rsidRPr="006D038C" w:rsidRDefault="00CC129D" w:rsidP="006D038C">
      <w:pPr>
        <w:pStyle w:val="Prrafodelista"/>
        <w:numPr>
          <w:ilvl w:val="0"/>
          <w:numId w:val="12"/>
        </w:num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Ser totalmente libre de cloro (TCF)</w:t>
      </w:r>
    </w:p>
    <w:p w14:paraId="493D2FED" w14:textId="2B42367F" w:rsidR="002502A2" w:rsidRPr="006D038C" w:rsidRDefault="00CC129D" w:rsidP="006D038C">
      <w:pPr>
        <w:pStyle w:val="Prrafodelista"/>
        <w:numPr>
          <w:ilvl w:val="0"/>
          <w:numId w:val="12"/>
        </w:num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Tener un grado de blancura máxima del 80% según ISO 11475:2004 o equivalente.</w:t>
      </w:r>
    </w:p>
    <w:p w14:paraId="2631689A" w14:textId="5474B775" w:rsidR="002502A2" w:rsidRPr="006D038C" w:rsidRDefault="002502A2" w:rsidP="006D038C">
      <w:pPr>
        <w:autoSpaceDE w:val="0"/>
        <w:autoSpaceDN w:val="0"/>
        <w:adjustRightInd w:val="0"/>
        <w:spacing w:line="360" w:lineRule="auto"/>
        <w:jc w:val="both"/>
        <w:rPr>
          <w:rFonts w:ascii="Century Gothic" w:eastAsiaTheme="minorHAnsi" w:hAnsi="Century Gothic"/>
          <w:sz w:val="20"/>
          <w:szCs w:val="20"/>
          <w:lang w:eastAsia="en-US"/>
        </w:rPr>
      </w:pPr>
    </w:p>
    <w:p w14:paraId="1CAEF2DA" w14:textId="7EA750FC" w:rsidR="002502A2" w:rsidRPr="006D038C" w:rsidRDefault="002502A2" w:rsidP="006D038C">
      <w:pPr>
        <w:autoSpaceDE w:val="0"/>
        <w:autoSpaceDN w:val="0"/>
        <w:adjustRightInd w:val="0"/>
        <w:spacing w:line="360" w:lineRule="auto"/>
        <w:jc w:val="both"/>
        <w:rPr>
          <w:rFonts w:ascii="Century Gothic" w:eastAsiaTheme="minorHAnsi" w:hAnsi="Century Gothic"/>
          <w:sz w:val="20"/>
          <w:szCs w:val="20"/>
          <w:lang w:eastAsia="en-US"/>
        </w:rPr>
      </w:pPr>
    </w:p>
    <w:p w14:paraId="2CAF81DC" w14:textId="27ABC1B5" w:rsidR="002502A2" w:rsidRPr="001344D9" w:rsidRDefault="002502A2" w:rsidP="001344D9">
      <w:pPr>
        <w:pStyle w:val="Ttulo1"/>
        <w:rPr>
          <w:rFonts w:ascii="Century Gothic" w:hAnsi="Century Gothic"/>
          <w:b/>
          <w:color w:val="auto"/>
          <w:sz w:val="22"/>
          <w:szCs w:val="22"/>
        </w:rPr>
      </w:pPr>
      <w:bookmarkStart w:id="10" w:name="_Toc118290677"/>
      <w:r w:rsidRPr="001344D9">
        <w:rPr>
          <w:rFonts w:ascii="Century Gothic" w:hAnsi="Century Gothic"/>
          <w:b/>
          <w:color w:val="auto"/>
          <w:sz w:val="22"/>
          <w:szCs w:val="22"/>
        </w:rPr>
        <w:t>5. OBLIGACIONES DE LA EMPRESA ADJUDICATARIA</w:t>
      </w:r>
      <w:bookmarkEnd w:id="10"/>
    </w:p>
    <w:p w14:paraId="0333092F" w14:textId="57F40E0A" w:rsidR="002502A2" w:rsidRPr="006D038C" w:rsidRDefault="002502A2" w:rsidP="006D038C">
      <w:pPr>
        <w:spacing w:line="360" w:lineRule="auto"/>
        <w:jc w:val="both"/>
        <w:rPr>
          <w:rFonts w:ascii="Century Gothic" w:hAnsi="Century Gothic"/>
          <w:b/>
          <w:caps/>
          <w:sz w:val="20"/>
          <w:szCs w:val="20"/>
          <w:u w:val="single"/>
        </w:rPr>
      </w:pPr>
    </w:p>
    <w:p w14:paraId="48CB77CA" w14:textId="036F94A5" w:rsidR="002502A2" w:rsidRPr="006D038C" w:rsidRDefault="002502A2" w:rsidP="006D038C">
      <w:p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La empresa adjudicataria dispondrá de recursos humanos cualificados para el proyecto y de los materiales necesarios para la óptima prestación de los servicios objeto del contrato, siendo a su cargo la totalidad de los costes que origine esta obligación, incluyendo los de transporte.</w:t>
      </w:r>
    </w:p>
    <w:p w14:paraId="6AA62A12" w14:textId="03A8F439" w:rsidR="002502A2" w:rsidRPr="006D038C" w:rsidRDefault="002502A2" w:rsidP="006D038C">
      <w:pPr>
        <w:autoSpaceDE w:val="0"/>
        <w:autoSpaceDN w:val="0"/>
        <w:adjustRightInd w:val="0"/>
        <w:spacing w:line="360" w:lineRule="auto"/>
        <w:jc w:val="both"/>
        <w:rPr>
          <w:rFonts w:ascii="Century Gothic" w:eastAsiaTheme="minorHAnsi" w:hAnsi="Century Gothic"/>
          <w:sz w:val="20"/>
          <w:szCs w:val="20"/>
          <w:lang w:eastAsia="en-US"/>
        </w:rPr>
      </w:pPr>
    </w:p>
    <w:p w14:paraId="03ADCF9B" w14:textId="3242B520" w:rsidR="002502A2" w:rsidRPr="006D038C" w:rsidRDefault="002502A2" w:rsidP="006D038C">
      <w:p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El equipo mínimo requerido estará integrado por un mínimo de 3 personas y es el siguiente:</w:t>
      </w:r>
    </w:p>
    <w:p w14:paraId="442B4B31" w14:textId="4BF063FA" w:rsidR="002502A2" w:rsidRPr="006D038C" w:rsidRDefault="002502A2" w:rsidP="006D038C">
      <w:pPr>
        <w:autoSpaceDE w:val="0"/>
        <w:autoSpaceDN w:val="0"/>
        <w:adjustRightInd w:val="0"/>
        <w:spacing w:line="360" w:lineRule="auto"/>
        <w:jc w:val="both"/>
        <w:rPr>
          <w:rFonts w:ascii="Century Gothic" w:eastAsiaTheme="minorHAnsi" w:hAnsi="Century Gothic"/>
          <w:sz w:val="20"/>
          <w:szCs w:val="20"/>
          <w:lang w:eastAsia="en-US"/>
        </w:rPr>
      </w:pPr>
    </w:p>
    <w:p w14:paraId="7BA8F637" w14:textId="31B1F9ED" w:rsidR="002502A2" w:rsidRPr="006D038C" w:rsidRDefault="002502A2" w:rsidP="006D038C">
      <w:pPr>
        <w:pStyle w:val="Prrafodelista"/>
        <w:numPr>
          <w:ilvl w:val="0"/>
          <w:numId w:val="10"/>
        </w:num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 xml:space="preserve">Una persona en el cargo de director/coordinadora de los trabajos que deberá ser un titulado universitario con formación/o experiencia en dirección y gestión de proyectos, especialmente vinculados a la energía y la gestión energética municipal. </w:t>
      </w:r>
    </w:p>
    <w:p w14:paraId="13CDBF15" w14:textId="77777777" w:rsidR="002502A2" w:rsidRPr="006D038C" w:rsidRDefault="002502A2" w:rsidP="006D038C">
      <w:pPr>
        <w:pStyle w:val="Prrafodelista"/>
        <w:autoSpaceDE w:val="0"/>
        <w:autoSpaceDN w:val="0"/>
        <w:adjustRightInd w:val="0"/>
        <w:spacing w:line="360" w:lineRule="auto"/>
        <w:jc w:val="both"/>
        <w:rPr>
          <w:rFonts w:ascii="Century Gothic" w:eastAsiaTheme="minorHAnsi" w:hAnsi="Century Gothic"/>
          <w:sz w:val="20"/>
          <w:szCs w:val="20"/>
          <w:lang w:eastAsia="en-US"/>
        </w:rPr>
      </w:pPr>
    </w:p>
    <w:p w14:paraId="77202F19" w14:textId="224CD259" w:rsidR="002502A2" w:rsidRPr="006D038C" w:rsidRDefault="002502A2" w:rsidP="006D038C">
      <w:pPr>
        <w:pStyle w:val="Prrafodelista"/>
        <w:numPr>
          <w:ilvl w:val="0"/>
          <w:numId w:val="10"/>
        </w:num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Equipo redactor del PEC y de su comunicación y participación durante la redacción, que estará integrado por un mínimo de dos técnicos diferentes del coordinador, que deberán ser</w:t>
      </w:r>
      <w:r w:rsidR="00D50743" w:rsidRPr="006D038C">
        <w:rPr>
          <w:rFonts w:ascii="Century Gothic" w:eastAsiaTheme="minorHAnsi" w:hAnsi="Century Gothic"/>
          <w:sz w:val="20"/>
          <w:szCs w:val="20"/>
          <w:lang w:eastAsia="en-US"/>
        </w:rPr>
        <w:t xml:space="preserve"> </w:t>
      </w:r>
      <w:r w:rsidRPr="006D038C">
        <w:rPr>
          <w:rFonts w:ascii="Century Gothic" w:eastAsiaTheme="minorHAnsi" w:hAnsi="Century Gothic"/>
          <w:sz w:val="20"/>
          <w:szCs w:val="20"/>
          <w:lang w:eastAsia="en-US"/>
        </w:rPr>
        <w:t>ingeniero técnico o superior, titulados</w:t>
      </w:r>
      <w:r w:rsidR="00D50743" w:rsidRPr="006D038C">
        <w:rPr>
          <w:rFonts w:ascii="Century Gothic" w:eastAsiaTheme="minorHAnsi" w:hAnsi="Century Gothic"/>
          <w:sz w:val="20"/>
          <w:szCs w:val="20"/>
          <w:lang w:eastAsia="en-US"/>
        </w:rPr>
        <w:t xml:space="preserve"> </w:t>
      </w:r>
      <w:r w:rsidRPr="006D038C">
        <w:rPr>
          <w:rFonts w:ascii="Century Gothic" w:eastAsiaTheme="minorHAnsi" w:hAnsi="Century Gothic"/>
          <w:sz w:val="20"/>
          <w:szCs w:val="20"/>
          <w:lang w:eastAsia="en-US"/>
        </w:rPr>
        <w:t>universitarios o de grado</w:t>
      </w:r>
      <w:r w:rsidR="00D50743" w:rsidRPr="006D038C">
        <w:rPr>
          <w:rFonts w:ascii="Century Gothic" w:eastAsiaTheme="minorHAnsi" w:hAnsi="Century Gothic"/>
          <w:sz w:val="20"/>
          <w:szCs w:val="20"/>
          <w:lang w:eastAsia="en-US"/>
        </w:rPr>
        <w:t xml:space="preserve"> </w:t>
      </w:r>
      <w:r w:rsidRPr="006D038C">
        <w:rPr>
          <w:rFonts w:ascii="Century Gothic" w:eastAsiaTheme="minorHAnsi" w:hAnsi="Century Gothic"/>
          <w:sz w:val="20"/>
          <w:szCs w:val="20"/>
          <w:lang w:eastAsia="en-US"/>
        </w:rPr>
        <w:t>especializados en medio ambiente.</w:t>
      </w:r>
    </w:p>
    <w:p w14:paraId="73DAD1CC" w14:textId="78E49E28" w:rsidR="002502A2" w:rsidRPr="006D038C" w:rsidRDefault="002502A2" w:rsidP="006D038C">
      <w:pPr>
        <w:autoSpaceDE w:val="0"/>
        <w:autoSpaceDN w:val="0"/>
        <w:adjustRightInd w:val="0"/>
        <w:spacing w:line="360" w:lineRule="auto"/>
        <w:jc w:val="both"/>
        <w:rPr>
          <w:rFonts w:ascii="Century Gothic" w:eastAsiaTheme="minorHAnsi" w:hAnsi="Century Gothic"/>
          <w:sz w:val="20"/>
          <w:szCs w:val="20"/>
          <w:lang w:eastAsia="en-US"/>
        </w:rPr>
      </w:pPr>
    </w:p>
    <w:p w14:paraId="75945260" w14:textId="5C55465E" w:rsidR="00D50743" w:rsidRPr="006D038C" w:rsidRDefault="00D50743" w:rsidP="006D038C">
      <w:p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Asimismo, uno de los tres perfiles requeridos deberá tener experiencia en procesos de comunicación y participación ciudadana.</w:t>
      </w:r>
    </w:p>
    <w:p w14:paraId="4E795CB7" w14:textId="20E6A6C8" w:rsidR="00D50743" w:rsidRPr="006D038C" w:rsidRDefault="00D50743" w:rsidP="006D038C">
      <w:pPr>
        <w:autoSpaceDE w:val="0"/>
        <w:autoSpaceDN w:val="0"/>
        <w:adjustRightInd w:val="0"/>
        <w:spacing w:line="360" w:lineRule="auto"/>
        <w:jc w:val="both"/>
        <w:rPr>
          <w:rFonts w:ascii="Century Gothic" w:eastAsiaTheme="minorHAnsi" w:hAnsi="Century Gothic"/>
          <w:sz w:val="20"/>
          <w:szCs w:val="20"/>
          <w:lang w:eastAsia="en-US"/>
        </w:rPr>
      </w:pPr>
    </w:p>
    <w:p w14:paraId="4B991960" w14:textId="2378956C" w:rsidR="00D50743" w:rsidRPr="006D038C" w:rsidRDefault="00D50743" w:rsidP="006D038C">
      <w:p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lastRenderedPageBreak/>
        <w:t>Se deberá especificar la participación concreta de los medios humanos y materiales que intervengan. En caso de las personas, deberán adscribirse los técnicos concretos y su grado de dedicación, identificando las personas que vayan a intervenir en los trabajos, por lo que a tal efecto, en la documentación a aportar para la licitación, deberá de incluirse la concreción de dichos técnicos, acreditándose su titulación.</w:t>
      </w:r>
    </w:p>
    <w:p w14:paraId="2FB8DCD9" w14:textId="77777777" w:rsidR="00392C94" w:rsidRPr="006D038C" w:rsidRDefault="00392C94" w:rsidP="006D038C">
      <w:pPr>
        <w:spacing w:line="360" w:lineRule="auto"/>
        <w:jc w:val="both"/>
        <w:rPr>
          <w:rFonts w:ascii="Century Gothic" w:hAnsi="Century Gothic"/>
          <w:b/>
          <w:caps/>
          <w:sz w:val="20"/>
          <w:szCs w:val="20"/>
          <w:u w:val="single"/>
        </w:rPr>
      </w:pPr>
    </w:p>
    <w:p w14:paraId="0A89D4D8" w14:textId="243C1330" w:rsidR="00D50743" w:rsidRPr="001344D9" w:rsidRDefault="00D50743" w:rsidP="001344D9">
      <w:pPr>
        <w:pStyle w:val="Ttulo1"/>
        <w:rPr>
          <w:rFonts w:ascii="Century Gothic" w:hAnsi="Century Gothic"/>
          <w:b/>
          <w:color w:val="auto"/>
          <w:sz w:val="22"/>
          <w:szCs w:val="22"/>
        </w:rPr>
      </w:pPr>
      <w:bookmarkStart w:id="11" w:name="_Toc118290678"/>
      <w:r w:rsidRPr="001344D9">
        <w:rPr>
          <w:rFonts w:ascii="Century Gothic" w:hAnsi="Century Gothic"/>
          <w:b/>
          <w:color w:val="auto"/>
          <w:sz w:val="22"/>
          <w:szCs w:val="22"/>
        </w:rPr>
        <w:t>6. PLAZO DE EJECUCIÓN</w:t>
      </w:r>
      <w:bookmarkEnd w:id="11"/>
    </w:p>
    <w:p w14:paraId="2746CB60" w14:textId="61F4E742" w:rsidR="00D50743" w:rsidRPr="006D038C" w:rsidRDefault="00D50743" w:rsidP="006D038C">
      <w:pPr>
        <w:spacing w:line="360" w:lineRule="auto"/>
        <w:jc w:val="both"/>
        <w:rPr>
          <w:rFonts w:ascii="Century Gothic" w:hAnsi="Century Gothic"/>
          <w:b/>
          <w:caps/>
          <w:sz w:val="20"/>
          <w:szCs w:val="20"/>
          <w:u w:val="single"/>
        </w:rPr>
      </w:pPr>
    </w:p>
    <w:p w14:paraId="0B58B076" w14:textId="02AEA8C7" w:rsidR="00D50743" w:rsidRPr="006D038C" w:rsidRDefault="00D50743" w:rsidP="006D038C">
      <w:p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El adjudicatario deberá presentar todos los trabajos en el plazo de un año, a contar desde la formalización del contrato.</w:t>
      </w:r>
    </w:p>
    <w:p w14:paraId="2E8A49B3" w14:textId="0A3A262E" w:rsidR="00526BCC" w:rsidRPr="006D038C" w:rsidRDefault="00526BCC" w:rsidP="006D038C">
      <w:pPr>
        <w:autoSpaceDE w:val="0"/>
        <w:autoSpaceDN w:val="0"/>
        <w:adjustRightInd w:val="0"/>
        <w:spacing w:line="360" w:lineRule="auto"/>
        <w:jc w:val="both"/>
        <w:rPr>
          <w:rFonts w:ascii="Century Gothic" w:eastAsiaTheme="minorHAnsi" w:hAnsi="Century Gothic"/>
          <w:sz w:val="20"/>
          <w:szCs w:val="20"/>
          <w:lang w:eastAsia="en-US"/>
        </w:rPr>
      </w:pPr>
    </w:p>
    <w:p w14:paraId="73D7777E" w14:textId="6EF34E26" w:rsidR="00526BCC" w:rsidRPr="006D038C" w:rsidRDefault="00526BCC" w:rsidP="006D038C">
      <w:p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Dentro de este período de un año se establece un cronograma para tres entregas parciales:</w:t>
      </w:r>
    </w:p>
    <w:p w14:paraId="66F84A43" w14:textId="0709F787" w:rsidR="00D50743" w:rsidRPr="006D038C" w:rsidRDefault="00D50743" w:rsidP="006D038C">
      <w:pPr>
        <w:autoSpaceDE w:val="0"/>
        <w:autoSpaceDN w:val="0"/>
        <w:adjustRightInd w:val="0"/>
        <w:spacing w:line="360" w:lineRule="auto"/>
        <w:jc w:val="both"/>
        <w:rPr>
          <w:rFonts w:ascii="Century Gothic" w:eastAsiaTheme="minorHAnsi" w:hAnsi="Century Gothic"/>
          <w:sz w:val="20"/>
          <w:szCs w:val="20"/>
          <w:lang w:eastAsia="en-US"/>
        </w:rPr>
      </w:pPr>
    </w:p>
    <w:p w14:paraId="16429EC0" w14:textId="77777777" w:rsidR="00526BCC" w:rsidRPr="006D038C" w:rsidRDefault="00526BCC" w:rsidP="006D038C">
      <w:pPr>
        <w:pStyle w:val="Prrafodelista"/>
        <w:numPr>
          <w:ilvl w:val="0"/>
          <w:numId w:val="13"/>
        </w:numPr>
        <w:autoSpaceDE w:val="0"/>
        <w:autoSpaceDN w:val="0"/>
        <w:adjustRightInd w:val="0"/>
        <w:spacing w:line="360" w:lineRule="auto"/>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Primera entrega: plazo de 4 meses a partir del inicio del contrato para presentar el diagnóstico de mitigación y adaptación.</w:t>
      </w:r>
    </w:p>
    <w:p w14:paraId="58674DB0" w14:textId="77777777" w:rsidR="00526BCC" w:rsidRPr="006D038C" w:rsidRDefault="00526BCC" w:rsidP="006D038C">
      <w:pPr>
        <w:pStyle w:val="Prrafodelista"/>
        <w:numPr>
          <w:ilvl w:val="0"/>
          <w:numId w:val="13"/>
        </w:numPr>
        <w:autoSpaceDE w:val="0"/>
        <w:autoSpaceDN w:val="0"/>
        <w:adjustRightInd w:val="0"/>
        <w:spacing w:line="360" w:lineRule="auto"/>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Segunda entrega: plazo de 3 meses desde el diagnóstico para presentar el Escenario PLAN 2030</w:t>
      </w:r>
    </w:p>
    <w:p w14:paraId="0D6EA251" w14:textId="7DD2DF28" w:rsidR="00526BCC" w:rsidRPr="006D038C" w:rsidRDefault="00526BCC" w:rsidP="006D038C">
      <w:pPr>
        <w:pStyle w:val="Prrafodelista"/>
        <w:numPr>
          <w:ilvl w:val="0"/>
          <w:numId w:val="13"/>
        </w:numPr>
        <w:autoSpaceDE w:val="0"/>
        <w:autoSpaceDN w:val="0"/>
        <w:adjustRightInd w:val="0"/>
        <w:spacing w:line="360" w:lineRule="auto"/>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Tercera entrega: plazo de 5 meses desde la finalización del documento anterior para la entrega del documento final del Plan de Energía y Clima de Legutio.</w:t>
      </w:r>
    </w:p>
    <w:p w14:paraId="1DC7F11A" w14:textId="1A7937C2" w:rsidR="00526BCC" w:rsidRPr="006D038C" w:rsidRDefault="00526BCC" w:rsidP="006D038C">
      <w:pPr>
        <w:pStyle w:val="Prrafodelista"/>
        <w:autoSpaceDE w:val="0"/>
        <w:autoSpaceDN w:val="0"/>
        <w:adjustRightInd w:val="0"/>
        <w:spacing w:line="360" w:lineRule="auto"/>
        <w:rPr>
          <w:rFonts w:ascii="Century Gothic" w:eastAsiaTheme="minorHAnsi" w:hAnsi="Century Gothic"/>
          <w:sz w:val="20"/>
          <w:szCs w:val="20"/>
          <w:lang w:eastAsia="en-US"/>
        </w:rPr>
      </w:pPr>
    </w:p>
    <w:p w14:paraId="62A1E977" w14:textId="78867256" w:rsidR="00526BCC" w:rsidRPr="00ED28C8" w:rsidRDefault="00526BCC" w:rsidP="00ED28C8">
      <w:pPr>
        <w:autoSpaceDE w:val="0"/>
        <w:autoSpaceDN w:val="0"/>
        <w:adjustRightInd w:val="0"/>
        <w:spacing w:line="360" w:lineRule="auto"/>
        <w:rPr>
          <w:rFonts w:ascii="Century Gothic" w:eastAsiaTheme="minorHAnsi" w:hAnsi="Century Gothic"/>
          <w:sz w:val="20"/>
          <w:szCs w:val="20"/>
          <w:lang w:eastAsia="en-US"/>
        </w:rPr>
      </w:pPr>
    </w:p>
    <w:p w14:paraId="4A355871" w14:textId="2C47E4BE" w:rsidR="00526BCC" w:rsidRPr="001344D9" w:rsidRDefault="00526BCC" w:rsidP="001344D9">
      <w:pPr>
        <w:pStyle w:val="Ttulo1"/>
        <w:rPr>
          <w:rFonts w:ascii="Century Gothic" w:hAnsi="Century Gothic"/>
          <w:b/>
          <w:color w:val="auto"/>
          <w:sz w:val="22"/>
          <w:szCs w:val="22"/>
        </w:rPr>
      </w:pPr>
      <w:bookmarkStart w:id="12" w:name="_Toc118290679"/>
      <w:r w:rsidRPr="001344D9">
        <w:rPr>
          <w:rFonts w:ascii="Century Gothic" w:hAnsi="Century Gothic"/>
          <w:b/>
          <w:color w:val="auto"/>
          <w:sz w:val="22"/>
          <w:szCs w:val="22"/>
        </w:rPr>
        <w:t>7. CONDICIONES DE EJECUCIÓN EN RELACIÓN A LAS LENGUAS OFICIALES</w:t>
      </w:r>
      <w:bookmarkEnd w:id="12"/>
    </w:p>
    <w:p w14:paraId="58DD53F6" w14:textId="3DEAF4FC" w:rsidR="00526BCC" w:rsidRPr="006D038C" w:rsidRDefault="00526BCC" w:rsidP="006D038C">
      <w:pPr>
        <w:pStyle w:val="Prrafodelista"/>
        <w:autoSpaceDE w:val="0"/>
        <w:autoSpaceDN w:val="0"/>
        <w:adjustRightInd w:val="0"/>
        <w:spacing w:line="360" w:lineRule="auto"/>
        <w:rPr>
          <w:rFonts w:ascii="Century Gothic" w:eastAsiaTheme="minorHAnsi" w:hAnsi="Century Gothic"/>
          <w:sz w:val="20"/>
          <w:szCs w:val="20"/>
          <w:lang w:eastAsia="en-US"/>
        </w:rPr>
      </w:pPr>
    </w:p>
    <w:p w14:paraId="79C5419C" w14:textId="6A2B7165" w:rsidR="00526BCC" w:rsidRPr="006D038C" w:rsidRDefault="00526BCC" w:rsidP="006D038C">
      <w:p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Las actividades organizadas por este servicio deberán de unirse también al esfuerzo que viene realizando el ayuntamiento en estos últimos años para la normalización del uso del euskera.</w:t>
      </w:r>
    </w:p>
    <w:p w14:paraId="1FAA18D1" w14:textId="5B86DDB2" w:rsidR="00526BCC" w:rsidRPr="006D038C" w:rsidRDefault="00526BCC" w:rsidP="006D038C">
      <w:pPr>
        <w:autoSpaceDE w:val="0"/>
        <w:autoSpaceDN w:val="0"/>
        <w:adjustRightInd w:val="0"/>
        <w:spacing w:line="360" w:lineRule="auto"/>
        <w:jc w:val="both"/>
        <w:rPr>
          <w:rFonts w:ascii="Century Gothic" w:eastAsiaTheme="minorHAnsi" w:hAnsi="Century Gothic"/>
          <w:sz w:val="20"/>
          <w:szCs w:val="20"/>
          <w:lang w:eastAsia="en-US"/>
        </w:rPr>
      </w:pPr>
    </w:p>
    <w:p w14:paraId="5FF3D259" w14:textId="1F3591A1" w:rsidR="00526BCC" w:rsidRPr="006D038C" w:rsidRDefault="00526BCC" w:rsidP="006D038C">
      <w:p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En este contrato en concreto, se deben tener en cuenta los siguientes requisito</w:t>
      </w:r>
      <w:r w:rsidR="00573D69" w:rsidRPr="006D038C">
        <w:rPr>
          <w:rFonts w:ascii="Century Gothic" w:eastAsiaTheme="minorHAnsi" w:hAnsi="Century Gothic"/>
          <w:sz w:val="20"/>
          <w:szCs w:val="20"/>
          <w:lang w:eastAsia="en-US"/>
        </w:rPr>
        <w:t>s</w:t>
      </w:r>
      <w:r w:rsidRPr="006D038C">
        <w:rPr>
          <w:rFonts w:ascii="Century Gothic" w:eastAsiaTheme="minorHAnsi" w:hAnsi="Century Gothic"/>
          <w:sz w:val="20"/>
          <w:szCs w:val="20"/>
          <w:lang w:eastAsia="en-US"/>
        </w:rPr>
        <w:t>:</w:t>
      </w:r>
    </w:p>
    <w:p w14:paraId="0420F63F" w14:textId="7F938D4C" w:rsidR="00526BCC" w:rsidRPr="006D038C" w:rsidRDefault="00526BCC" w:rsidP="006D038C">
      <w:pPr>
        <w:autoSpaceDE w:val="0"/>
        <w:autoSpaceDN w:val="0"/>
        <w:adjustRightInd w:val="0"/>
        <w:spacing w:line="360" w:lineRule="auto"/>
        <w:jc w:val="both"/>
        <w:rPr>
          <w:rFonts w:ascii="Century Gothic" w:eastAsiaTheme="minorHAnsi" w:hAnsi="Century Gothic"/>
          <w:sz w:val="20"/>
          <w:szCs w:val="20"/>
          <w:lang w:eastAsia="en-US"/>
        </w:rPr>
      </w:pPr>
    </w:p>
    <w:p w14:paraId="24B9F823" w14:textId="77777777" w:rsidR="00526BCC" w:rsidRPr="006D038C" w:rsidRDefault="00526BCC" w:rsidP="006D038C">
      <w:pPr>
        <w:pStyle w:val="Prrafodelista"/>
        <w:numPr>
          <w:ilvl w:val="0"/>
          <w:numId w:val="10"/>
        </w:num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 xml:space="preserve"> La documentación producto de la prestación del servicio, deberá de ser elaborada en bilingüe.</w:t>
      </w:r>
    </w:p>
    <w:p w14:paraId="0A9BB097" w14:textId="49E1143C" w:rsidR="00526BCC" w:rsidRPr="00423A9E" w:rsidRDefault="00526BCC" w:rsidP="006D038C">
      <w:pPr>
        <w:pStyle w:val="Prrafodelista"/>
        <w:numPr>
          <w:ilvl w:val="0"/>
          <w:numId w:val="10"/>
        </w:num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La prestación del servicio en relación con la ciudadanía y la administración deberá ser garantizada por la adjudicataria en los dos idiomas, tanto oralmente como por escrito.</w:t>
      </w:r>
    </w:p>
    <w:p w14:paraId="48CB371D" w14:textId="6DC12C23" w:rsidR="00526BCC" w:rsidRPr="001344D9" w:rsidRDefault="00526BCC" w:rsidP="001344D9">
      <w:pPr>
        <w:pStyle w:val="Ttulo1"/>
        <w:rPr>
          <w:rFonts w:ascii="Century Gothic" w:hAnsi="Century Gothic"/>
          <w:b/>
          <w:color w:val="auto"/>
          <w:sz w:val="22"/>
          <w:szCs w:val="22"/>
        </w:rPr>
      </w:pPr>
      <w:bookmarkStart w:id="13" w:name="_Toc118290680"/>
      <w:r w:rsidRPr="001344D9">
        <w:rPr>
          <w:rFonts w:ascii="Century Gothic" w:hAnsi="Century Gothic"/>
          <w:b/>
          <w:color w:val="auto"/>
          <w:sz w:val="22"/>
          <w:szCs w:val="22"/>
        </w:rPr>
        <w:lastRenderedPageBreak/>
        <w:t>8. CRITERIOS DE IGUALDAD DE GÉNERO</w:t>
      </w:r>
      <w:bookmarkEnd w:id="13"/>
    </w:p>
    <w:p w14:paraId="26C725F0" w14:textId="41073F54" w:rsidR="00526BCC" w:rsidRPr="006D038C" w:rsidRDefault="00526BCC" w:rsidP="006D038C">
      <w:pPr>
        <w:spacing w:line="360" w:lineRule="auto"/>
        <w:jc w:val="both"/>
        <w:rPr>
          <w:rFonts w:ascii="Century Gothic" w:hAnsi="Century Gothic"/>
          <w:b/>
          <w:caps/>
          <w:sz w:val="20"/>
          <w:szCs w:val="20"/>
          <w:u w:val="single"/>
        </w:rPr>
      </w:pPr>
    </w:p>
    <w:p w14:paraId="4E155CDF" w14:textId="449EBBBB" w:rsidR="00526BCC" w:rsidRPr="006D038C" w:rsidRDefault="00526BCC" w:rsidP="006D038C">
      <w:pPr>
        <w:autoSpaceDE w:val="0"/>
        <w:autoSpaceDN w:val="0"/>
        <w:adjustRightInd w:val="0"/>
        <w:spacing w:line="360" w:lineRule="auto"/>
        <w:jc w:val="both"/>
        <w:rPr>
          <w:rFonts w:ascii="Century Gothic" w:eastAsiaTheme="minorHAnsi" w:hAnsi="Century Gothic"/>
          <w:sz w:val="20"/>
          <w:szCs w:val="20"/>
          <w:lang w:eastAsia="en-US"/>
        </w:rPr>
      </w:pPr>
      <w:r w:rsidRPr="006D038C">
        <w:rPr>
          <w:rFonts w:ascii="Century Gothic" w:eastAsiaTheme="minorHAnsi" w:hAnsi="Century Gothic"/>
          <w:sz w:val="20"/>
          <w:szCs w:val="20"/>
          <w:lang w:eastAsia="en-US"/>
        </w:rPr>
        <w:t>Se garantizará la inclusión de aspectos de igualdad de género en los documentos y actividades</w:t>
      </w:r>
      <w:r w:rsidR="00864F2F" w:rsidRPr="006D038C">
        <w:rPr>
          <w:rFonts w:ascii="Century Gothic" w:eastAsiaTheme="minorHAnsi" w:hAnsi="Century Gothic"/>
          <w:sz w:val="20"/>
          <w:szCs w:val="20"/>
          <w:lang w:eastAsia="en-US"/>
        </w:rPr>
        <w:t xml:space="preserve"> </w:t>
      </w:r>
      <w:r w:rsidRPr="006D038C">
        <w:rPr>
          <w:rFonts w:ascii="Century Gothic" w:eastAsiaTheme="minorHAnsi" w:hAnsi="Century Gothic"/>
          <w:sz w:val="20"/>
          <w:szCs w:val="20"/>
          <w:lang w:eastAsia="en-US"/>
        </w:rPr>
        <w:t>que se desarrollen, con objeto de</w:t>
      </w:r>
      <w:r w:rsidR="00864F2F" w:rsidRPr="006D038C">
        <w:rPr>
          <w:rFonts w:ascii="Century Gothic" w:eastAsiaTheme="minorHAnsi" w:hAnsi="Century Gothic"/>
          <w:sz w:val="20"/>
          <w:szCs w:val="20"/>
          <w:lang w:eastAsia="en-US"/>
        </w:rPr>
        <w:t xml:space="preserve"> </w:t>
      </w:r>
      <w:r w:rsidRPr="006D038C">
        <w:rPr>
          <w:rFonts w:ascii="Century Gothic" w:eastAsiaTheme="minorHAnsi" w:hAnsi="Century Gothic"/>
          <w:sz w:val="20"/>
          <w:szCs w:val="20"/>
          <w:lang w:eastAsia="en-US"/>
        </w:rPr>
        <w:t>evitar las posibles discriminaciones</w:t>
      </w:r>
      <w:r w:rsidR="00864F2F" w:rsidRPr="006D038C">
        <w:rPr>
          <w:rFonts w:ascii="Century Gothic" w:eastAsiaTheme="minorHAnsi" w:hAnsi="Century Gothic"/>
          <w:sz w:val="20"/>
          <w:szCs w:val="20"/>
          <w:lang w:eastAsia="en-US"/>
        </w:rPr>
        <w:t xml:space="preserve"> </w:t>
      </w:r>
      <w:r w:rsidRPr="006D038C">
        <w:rPr>
          <w:rFonts w:ascii="Century Gothic" w:eastAsiaTheme="minorHAnsi" w:hAnsi="Century Gothic"/>
          <w:sz w:val="20"/>
          <w:szCs w:val="20"/>
          <w:lang w:eastAsia="en-US"/>
        </w:rPr>
        <w:t>lingüísticas y de imagen que pudieran darse.</w:t>
      </w:r>
    </w:p>
    <w:p w14:paraId="0F33945B" w14:textId="77777777" w:rsidR="00526BCC" w:rsidRPr="006D038C" w:rsidRDefault="00526BCC" w:rsidP="006D038C">
      <w:pPr>
        <w:autoSpaceDE w:val="0"/>
        <w:autoSpaceDN w:val="0"/>
        <w:adjustRightInd w:val="0"/>
        <w:spacing w:line="360" w:lineRule="auto"/>
        <w:jc w:val="both"/>
        <w:rPr>
          <w:rFonts w:ascii="Century Gothic" w:eastAsiaTheme="minorHAnsi" w:hAnsi="Century Gothic"/>
          <w:sz w:val="20"/>
          <w:szCs w:val="20"/>
          <w:lang w:eastAsia="en-US"/>
        </w:rPr>
      </w:pPr>
    </w:p>
    <w:sectPr w:rsidR="00526BCC" w:rsidRPr="006D038C">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EC02B" w14:textId="77777777" w:rsidR="001A6C9A" w:rsidRDefault="001A6C9A" w:rsidP="00E72EC0">
      <w:r>
        <w:separator/>
      </w:r>
    </w:p>
  </w:endnote>
  <w:endnote w:type="continuationSeparator" w:id="0">
    <w:p w14:paraId="5B0C6BE1" w14:textId="77777777" w:rsidR="001A6C9A" w:rsidRDefault="001A6C9A" w:rsidP="00E72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7340291"/>
      <w:docPartObj>
        <w:docPartGallery w:val="Page Numbers (Bottom of Page)"/>
        <w:docPartUnique/>
      </w:docPartObj>
    </w:sdtPr>
    <w:sdtEndPr/>
    <w:sdtContent>
      <w:p w14:paraId="2C3D4815" w14:textId="123AA286" w:rsidR="006A3B27" w:rsidRDefault="006A3B27">
        <w:pPr>
          <w:pStyle w:val="Piedepgina"/>
          <w:jc w:val="right"/>
        </w:pPr>
        <w:r>
          <w:fldChar w:fldCharType="begin"/>
        </w:r>
        <w:r>
          <w:instrText>PAGE   \* MERGEFORMAT</w:instrText>
        </w:r>
        <w:r>
          <w:fldChar w:fldCharType="separate"/>
        </w:r>
        <w:r w:rsidR="004A1CE8">
          <w:rPr>
            <w:noProof/>
          </w:rPr>
          <w:t>9</w:t>
        </w:r>
        <w:r>
          <w:fldChar w:fldCharType="end"/>
        </w:r>
      </w:p>
    </w:sdtContent>
  </w:sdt>
  <w:p w14:paraId="225145B5" w14:textId="77777777" w:rsidR="006A3B27" w:rsidRDefault="006A3B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95EE9" w14:textId="77777777" w:rsidR="001A6C9A" w:rsidRDefault="001A6C9A" w:rsidP="00E72EC0">
      <w:r>
        <w:separator/>
      </w:r>
    </w:p>
  </w:footnote>
  <w:footnote w:type="continuationSeparator" w:id="0">
    <w:p w14:paraId="2E8C073E" w14:textId="77777777" w:rsidR="001A6C9A" w:rsidRDefault="001A6C9A" w:rsidP="00E72E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50" w:type="dxa"/>
      <w:tblLayout w:type="fixed"/>
      <w:tblCellMar>
        <w:left w:w="70" w:type="dxa"/>
        <w:right w:w="70" w:type="dxa"/>
      </w:tblCellMar>
      <w:tblLook w:val="0000" w:firstRow="0" w:lastRow="0" w:firstColumn="0" w:lastColumn="0" w:noHBand="0" w:noVBand="0"/>
    </w:tblPr>
    <w:tblGrid>
      <w:gridCol w:w="3550"/>
      <w:gridCol w:w="1907"/>
      <w:gridCol w:w="3793"/>
    </w:tblGrid>
    <w:tr w:rsidR="00E72EC0" w:rsidRPr="00E72EC0" w14:paraId="10912C16" w14:textId="77777777" w:rsidTr="00F661A3">
      <w:tc>
        <w:tcPr>
          <w:tcW w:w="3550" w:type="dxa"/>
        </w:tcPr>
        <w:p w14:paraId="314D7716" w14:textId="77777777" w:rsidR="00E72EC0" w:rsidRPr="00E72EC0" w:rsidRDefault="00E72EC0" w:rsidP="00E72EC0">
          <w:pPr>
            <w:rPr>
              <w:b/>
              <w:bCs/>
              <w:sz w:val="20"/>
            </w:rPr>
          </w:pPr>
        </w:p>
        <w:p w14:paraId="03DE6050" w14:textId="77777777" w:rsidR="00E72EC0" w:rsidRPr="00E72EC0" w:rsidRDefault="00E72EC0" w:rsidP="00E72EC0">
          <w:pPr>
            <w:jc w:val="center"/>
            <w:rPr>
              <w:b/>
              <w:bCs/>
              <w:sz w:val="20"/>
            </w:rPr>
          </w:pPr>
          <w:r w:rsidRPr="00E72EC0">
            <w:rPr>
              <w:b/>
              <w:bCs/>
              <w:sz w:val="20"/>
            </w:rPr>
            <w:t>LEGUTIOKO UDALA</w:t>
          </w:r>
        </w:p>
      </w:tc>
      <w:tc>
        <w:tcPr>
          <w:tcW w:w="1907" w:type="dxa"/>
        </w:tcPr>
        <w:p w14:paraId="05217DF6" w14:textId="1CDC04D7" w:rsidR="00E72EC0" w:rsidRPr="00E72EC0" w:rsidRDefault="00E72EC0" w:rsidP="00E72EC0">
          <w:pPr>
            <w:jc w:val="center"/>
            <w:rPr>
              <w:b/>
              <w:bCs/>
              <w:sz w:val="22"/>
            </w:rPr>
          </w:pPr>
          <w:r w:rsidRPr="00E72EC0">
            <w:rPr>
              <w:b/>
              <w:noProof/>
              <w:sz w:val="22"/>
            </w:rPr>
            <w:drawing>
              <wp:inline distT="0" distB="0" distL="0" distR="0" wp14:anchorId="37AADF83" wp14:editId="32E88250">
                <wp:extent cx="638175" cy="666750"/>
                <wp:effectExtent l="0" t="0" r="9525" b="0"/>
                <wp:docPr id="1" name="Imagen 1"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 dibujo de una persona&#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66750"/>
                        </a:xfrm>
                        <a:prstGeom prst="rect">
                          <a:avLst/>
                        </a:prstGeom>
                        <a:noFill/>
                        <a:ln>
                          <a:noFill/>
                        </a:ln>
                      </pic:spPr>
                    </pic:pic>
                  </a:graphicData>
                </a:graphic>
              </wp:inline>
            </w:drawing>
          </w:r>
        </w:p>
      </w:tc>
      <w:tc>
        <w:tcPr>
          <w:tcW w:w="3793" w:type="dxa"/>
        </w:tcPr>
        <w:p w14:paraId="70E9EFE0" w14:textId="77777777" w:rsidR="00E72EC0" w:rsidRPr="00E72EC0" w:rsidRDefault="00E72EC0" w:rsidP="00E72EC0">
          <w:pPr>
            <w:rPr>
              <w:b/>
              <w:bCs/>
              <w:sz w:val="22"/>
            </w:rPr>
          </w:pPr>
        </w:p>
        <w:p w14:paraId="59A45657" w14:textId="77777777" w:rsidR="00E72EC0" w:rsidRPr="00E72EC0" w:rsidRDefault="00E72EC0" w:rsidP="00E72EC0">
          <w:pPr>
            <w:rPr>
              <w:b/>
              <w:bCs/>
              <w:sz w:val="20"/>
            </w:rPr>
          </w:pPr>
          <w:r w:rsidRPr="00E72EC0">
            <w:rPr>
              <w:b/>
              <w:bCs/>
              <w:sz w:val="20"/>
            </w:rPr>
            <w:t>AYUNTAMIENTO DE LEGUTIO</w:t>
          </w:r>
        </w:p>
      </w:tc>
    </w:tr>
  </w:tbl>
  <w:p w14:paraId="48514BC2" w14:textId="77777777" w:rsidR="00E72EC0" w:rsidRDefault="00E72EC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A64324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3A7AF7"/>
    <w:multiLevelType w:val="hybridMultilevel"/>
    <w:tmpl w:val="3A80A102"/>
    <w:lvl w:ilvl="0" w:tplc="DA023D18">
      <w:start w:val="1"/>
      <w:numFmt w:val="decimal"/>
      <w:lvlText w:val="4.%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F060C6"/>
    <w:multiLevelType w:val="multilevel"/>
    <w:tmpl w:val="8F321842"/>
    <w:lvl w:ilvl="0">
      <w:start w:val="1"/>
      <w:numFmt w:val="decimal"/>
      <w:lvlText w:val="%1."/>
      <w:lvlJc w:val="left"/>
      <w:pPr>
        <w:ind w:left="435" w:hanging="435"/>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3" w15:restartNumberingAfterBreak="0">
    <w:nsid w:val="0E15942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3207468"/>
    <w:multiLevelType w:val="hybridMultilevel"/>
    <w:tmpl w:val="485C66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F3B5CCF"/>
    <w:multiLevelType w:val="multilevel"/>
    <w:tmpl w:val="8F321842"/>
    <w:lvl w:ilvl="0">
      <w:start w:val="1"/>
      <w:numFmt w:val="decimal"/>
      <w:lvlText w:val="%1."/>
      <w:lvlJc w:val="left"/>
      <w:pPr>
        <w:ind w:left="435" w:hanging="435"/>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6" w15:restartNumberingAfterBreak="0">
    <w:nsid w:val="20307BCA"/>
    <w:multiLevelType w:val="hybridMultilevel"/>
    <w:tmpl w:val="748A2B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0522386"/>
    <w:multiLevelType w:val="hybridMultilevel"/>
    <w:tmpl w:val="082E30BE"/>
    <w:lvl w:ilvl="0" w:tplc="2B141692">
      <w:start w:val="1"/>
      <w:numFmt w:val="decimal"/>
      <w:lvlText w:val="2.3.%1"/>
      <w:lvlJc w:val="left"/>
      <w:pPr>
        <w:ind w:left="106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626F7D"/>
    <w:multiLevelType w:val="hybridMultilevel"/>
    <w:tmpl w:val="33B6232C"/>
    <w:lvl w:ilvl="0" w:tplc="F202BBE8">
      <w:numFmt w:val="bullet"/>
      <w:lvlText w:val="-"/>
      <w:lvlJc w:val="left"/>
      <w:pPr>
        <w:ind w:left="720" w:hanging="360"/>
      </w:pPr>
      <w:rPr>
        <w:rFonts w:ascii="Times New Roman" w:eastAsia="Times New Roman" w:hAnsi="Times New Roman" w:cs="Times New Roman" w:hint="default"/>
        <w:color w:val="FF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A675B12"/>
    <w:multiLevelType w:val="hybridMultilevel"/>
    <w:tmpl w:val="71D43C2A"/>
    <w:lvl w:ilvl="0" w:tplc="CE728E1C">
      <w:start w:val="1"/>
      <w:numFmt w:val="decimal"/>
      <w:lvlText w:val="6.%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B213CA4"/>
    <w:multiLevelType w:val="hybridMultilevel"/>
    <w:tmpl w:val="266A2236"/>
    <w:lvl w:ilvl="0" w:tplc="633A32D2">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D182A36"/>
    <w:multiLevelType w:val="hybridMultilevel"/>
    <w:tmpl w:val="41CE022E"/>
    <w:lvl w:ilvl="0" w:tplc="1EC4AA56">
      <w:start w:val="1"/>
      <w:numFmt w:val="decimal"/>
      <w:lvlText w:val="5.%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E0129DD"/>
    <w:multiLevelType w:val="hybridMultilevel"/>
    <w:tmpl w:val="485C66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21C2384"/>
    <w:multiLevelType w:val="hybridMultilevel"/>
    <w:tmpl w:val="98A6B6B0"/>
    <w:lvl w:ilvl="0" w:tplc="6D888CA8">
      <w:numFmt w:val="bullet"/>
      <w:lvlText w:val="•"/>
      <w:lvlJc w:val="left"/>
      <w:pPr>
        <w:ind w:left="720" w:hanging="360"/>
      </w:pPr>
      <w:rPr>
        <w:rFonts w:ascii="Century Gothic" w:eastAsia="Times New Roman" w:hAnsi="Century Gothic"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F7D4DBC"/>
    <w:multiLevelType w:val="hybridMultilevel"/>
    <w:tmpl w:val="BA1073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0264630"/>
    <w:multiLevelType w:val="hybridMultilevel"/>
    <w:tmpl w:val="A3CAFAD6"/>
    <w:lvl w:ilvl="0" w:tplc="52BA2214">
      <w:start w:val="4"/>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0595F83"/>
    <w:multiLevelType w:val="hybridMultilevel"/>
    <w:tmpl w:val="038A25D2"/>
    <w:lvl w:ilvl="0" w:tplc="707A8FC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B3452EA"/>
    <w:multiLevelType w:val="hybridMultilevel"/>
    <w:tmpl w:val="FDE4C9D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22A6E1A"/>
    <w:multiLevelType w:val="hybridMultilevel"/>
    <w:tmpl w:val="485C6696"/>
    <w:lvl w:ilvl="0" w:tplc="F8B2888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6D45AAE"/>
    <w:multiLevelType w:val="hybridMultilevel"/>
    <w:tmpl w:val="42A8A36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D3F72DA"/>
    <w:multiLevelType w:val="hybridMultilevel"/>
    <w:tmpl w:val="802EEFEE"/>
    <w:lvl w:ilvl="0" w:tplc="6EECDD04">
      <w:start w:val="1"/>
      <w:numFmt w:val="decimal"/>
      <w:lvlText w:val="2.3.%1"/>
      <w:lvlJc w:val="left"/>
      <w:pPr>
        <w:ind w:left="1068" w:hanging="360"/>
      </w:pPr>
      <w:rPr>
        <w:rFonts w:hint="default"/>
      </w:r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F8DA63D0">
      <w:start w:val="2"/>
      <w:numFmt w:val="bullet"/>
      <w:lvlText w:val="-"/>
      <w:lvlJc w:val="left"/>
      <w:pPr>
        <w:ind w:left="3228" w:hanging="360"/>
      </w:pPr>
      <w:rPr>
        <w:rFonts w:ascii="Century Gothic" w:eastAsiaTheme="minorHAnsi" w:hAnsi="Century Gothic" w:cs="Times New Roman" w:hint="default"/>
      </w:r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1" w15:restartNumberingAfterBreak="0">
    <w:nsid w:val="5DDB7267"/>
    <w:multiLevelType w:val="multilevel"/>
    <w:tmpl w:val="503800B4"/>
    <w:lvl w:ilvl="0">
      <w:start w:val="1"/>
      <w:numFmt w:val="decimal"/>
      <w:lvlText w:val="%1."/>
      <w:lvlJc w:val="left"/>
      <w:pPr>
        <w:ind w:left="435" w:hanging="435"/>
      </w:pPr>
      <w:rPr>
        <w:rFonts w:hint="default"/>
      </w:rPr>
    </w:lvl>
    <w:lvl w:ilvl="1">
      <w:start w:val="1"/>
      <w:numFmt w:val="decimal"/>
      <w:lvlText w:val="%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22" w15:restartNumberingAfterBreak="0">
    <w:nsid w:val="64747B45"/>
    <w:multiLevelType w:val="hybridMultilevel"/>
    <w:tmpl w:val="B7467EDA"/>
    <w:lvl w:ilvl="0" w:tplc="5842536C">
      <w:start w:val="1"/>
      <w:numFmt w:val="decimal"/>
      <w:lvlText w:val="5.%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4E15CCD"/>
    <w:multiLevelType w:val="hybridMultilevel"/>
    <w:tmpl w:val="E476FEFE"/>
    <w:lvl w:ilvl="0" w:tplc="82CC3BC8">
      <w:start w:val="4"/>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79D413A"/>
    <w:multiLevelType w:val="hybridMultilevel"/>
    <w:tmpl w:val="23DAC3C0"/>
    <w:lvl w:ilvl="0" w:tplc="0C0A0003">
      <w:start w:val="1"/>
      <w:numFmt w:val="bullet"/>
      <w:lvlText w:val="o"/>
      <w:lvlJc w:val="left"/>
      <w:pPr>
        <w:ind w:left="2130" w:hanging="360"/>
      </w:pPr>
      <w:rPr>
        <w:rFonts w:ascii="Courier New" w:hAnsi="Courier New" w:cs="Courier New" w:hint="default"/>
      </w:rPr>
    </w:lvl>
    <w:lvl w:ilvl="1" w:tplc="0C0A0003" w:tentative="1">
      <w:start w:val="1"/>
      <w:numFmt w:val="bullet"/>
      <w:lvlText w:val="o"/>
      <w:lvlJc w:val="left"/>
      <w:pPr>
        <w:ind w:left="2850" w:hanging="360"/>
      </w:pPr>
      <w:rPr>
        <w:rFonts w:ascii="Courier New" w:hAnsi="Courier New" w:cs="Courier New" w:hint="default"/>
      </w:rPr>
    </w:lvl>
    <w:lvl w:ilvl="2" w:tplc="0C0A0005" w:tentative="1">
      <w:start w:val="1"/>
      <w:numFmt w:val="bullet"/>
      <w:lvlText w:val=""/>
      <w:lvlJc w:val="left"/>
      <w:pPr>
        <w:ind w:left="3570" w:hanging="360"/>
      </w:pPr>
      <w:rPr>
        <w:rFonts w:ascii="Wingdings" w:hAnsi="Wingdings" w:hint="default"/>
      </w:rPr>
    </w:lvl>
    <w:lvl w:ilvl="3" w:tplc="0C0A0001" w:tentative="1">
      <w:start w:val="1"/>
      <w:numFmt w:val="bullet"/>
      <w:lvlText w:val=""/>
      <w:lvlJc w:val="left"/>
      <w:pPr>
        <w:ind w:left="4290" w:hanging="360"/>
      </w:pPr>
      <w:rPr>
        <w:rFonts w:ascii="Symbol" w:hAnsi="Symbol" w:hint="default"/>
      </w:rPr>
    </w:lvl>
    <w:lvl w:ilvl="4" w:tplc="0C0A0003" w:tentative="1">
      <w:start w:val="1"/>
      <w:numFmt w:val="bullet"/>
      <w:lvlText w:val="o"/>
      <w:lvlJc w:val="left"/>
      <w:pPr>
        <w:ind w:left="5010" w:hanging="360"/>
      </w:pPr>
      <w:rPr>
        <w:rFonts w:ascii="Courier New" w:hAnsi="Courier New" w:cs="Courier New" w:hint="default"/>
      </w:rPr>
    </w:lvl>
    <w:lvl w:ilvl="5" w:tplc="0C0A0005" w:tentative="1">
      <w:start w:val="1"/>
      <w:numFmt w:val="bullet"/>
      <w:lvlText w:val=""/>
      <w:lvlJc w:val="left"/>
      <w:pPr>
        <w:ind w:left="5730" w:hanging="360"/>
      </w:pPr>
      <w:rPr>
        <w:rFonts w:ascii="Wingdings" w:hAnsi="Wingdings" w:hint="default"/>
      </w:rPr>
    </w:lvl>
    <w:lvl w:ilvl="6" w:tplc="0C0A0001" w:tentative="1">
      <w:start w:val="1"/>
      <w:numFmt w:val="bullet"/>
      <w:lvlText w:val=""/>
      <w:lvlJc w:val="left"/>
      <w:pPr>
        <w:ind w:left="6450" w:hanging="360"/>
      </w:pPr>
      <w:rPr>
        <w:rFonts w:ascii="Symbol" w:hAnsi="Symbol" w:hint="default"/>
      </w:rPr>
    </w:lvl>
    <w:lvl w:ilvl="7" w:tplc="0C0A0003" w:tentative="1">
      <w:start w:val="1"/>
      <w:numFmt w:val="bullet"/>
      <w:lvlText w:val="o"/>
      <w:lvlJc w:val="left"/>
      <w:pPr>
        <w:ind w:left="7170" w:hanging="360"/>
      </w:pPr>
      <w:rPr>
        <w:rFonts w:ascii="Courier New" w:hAnsi="Courier New" w:cs="Courier New" w:hint="default"/>
      </w:rPr>
    </w:lvl>
    <w:lvl w:ilvl="8" w:tplc="0C0A0005" w:tentative="1">
      <w:start w:val="1"/>
      <w:numFmt w:val="bullet"/>
      <w:lvlText w:val=""/>
      <w:lvlJc w:val="left"/>
      <w:pPr>
        <w:ind w:left="7890" w:hanging="360"/>
      </w:pPr>
      <w:rPr>
        <w:rFonts w:ascii="Wingdings" w:hAnsi="Wingdings" w:hint="default"/>
      </w:rPr>
    </w:lvl>
  </w:abstractNum>
  <w:abstractNum w:abstractNumId="25" w15:restartNumberingAfterBreak="0">
    <w:nsid w:val="67A503DD"/>
    <w:multiLevelType w:val="hybridMultilevel"/>
    <w:tmpl w:val="BB7297D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EB316F6"/>
    <w:multiLevelType w:val="hybridMultilevel"/>
    <w:tmpl w:val="455C4DDA"/>
    <w:lvl w:ilvl="0" w:tplc="E058310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8885E7E"/>
    <w:multiLevelType w:val="hybridMultilevel"/>
    <w:tmpl w:val="9326850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8" w15:restartNumberingAfterBreak="0">
    <w:nsid w:val="7C0BD28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39468821">
    <w:abstractNumId w:val="28"/>
  </w:num>
  <w:num w:numId="2" w16cid:durableId="1351763438">
    <w:abstractNumId w:val="0"/>
  </w:num>
  <w:num w:numId="3" w16cid:durableId="106046142">
    <w:abstractNumId w:val="3"/>
  </w:num>
  <w:num w:numId="4" w16cid:durableId="959451916">
    <w:abstractNumId w:val="14"/>
  </w:num>
  <w:num w:numId="5" w16cid:durableId="180172102">
    <w:abstractNumId w:val="16"/>
  </w:num>
  <w:num w:numId="6" w16cid:durableId="184902929">
    <w:abstractNumId w:val="26"/>
  </w:num>
  <w:num w:numId="7" w16cid:durableId="1488551773">
    <w:abstractNumId w:val="5"/>
  </w:num>
  <w:num w:numId="8" w16cid:durableId="1343043377">
    <w:abstractNumId w:val="2"/>
  </w:num>
  <w:num w:numId="9" w16cid:durableId="784034740">
    <w:abstractNumId w:val="23"/>
  </w:num>
  <w:num w:numId="10" w16cid:durableId="328337853">
    <w:abstractNumId w:val="15"/>
  </w:num>
  <w:num w:numId="11" w16cid:durableId="747388219">
    <w:abstractNumId w:val="24"/>
  </w:num>
  <w:num w:numId="12" w16cid:durableId="707949241">
    <w:abstractNumId w:val="25"/>
  </w:num>
  <w:num w:numId="13" w16cid:durableId="554246516">
    <w:abstractNumId w:val="18"/>
  </w:num>
  <w:num w:numId="14" w16cid:durableId="552235930">
    <w:abstractNumId w:val="12"/>
  </w:num>
  <w:num w:numId="15" w16cid:durableId="1416052772">
    <w:abstractNumId w:val="4"/>
  </w:num>
  <w:num w:numId="16" w16cid:durableId="232129312">
    <w:abstractNumId w:val="8"/>
  </w:num>
  <w:num w:numId="17" w16cid:durableId="480923068">
    <w:abstractNumId w:val="27"/>
  </w:num>
  <w:num w:numId="18" w16cid:durableId="1883790380">
    <w:abstractNumId w:val="6"/>
  </w:num>
  <w:num w:numId="19" w16cid:durableId="2062895593">
    <w:abstractNumId w:val="13"/>
  </w:num>
  <w:num w:numId="20" w16cid:durableId="1737126842">
    <w:abstractNumId w:val="19"/>
  </w:num>
  <w:num w:numId="21" w16cid:durableId="1715233766">
    <w:abstractNumId w:val="17"/>
  </w:num>
  <w:num w:numId="22" w16cid:durableId="582757384">
    <w:abstractNumId w:val="21"/>
  </w:num>
  <w:num w:numId="23" w16cid:durableId="53898798">
    <w:abstractNumId w:val="20"/>
  </w:num>
  <w:num w:numId="24" w16cid:durableId="515463782">
    <w:abstractNumId w:val="10"/>
  </w:num>
  <w:num w:numId="25" w16cid:durableId="204947138">
    <w:abstractNumId w:val="7"/>
  </w:num>
  <w:num w:numId="26" w16cid:durableId="970327697">
    <w:abstractNumId w:val="1"/>
  </w:num>
  <w:num w:numId="27" w16cid:durableId="2105689093">
    <w:abstractNumId w:val="22"/>
  </w:num>
  <w:num w:numId="28" w16cid:durableId="1508593491">
    <w:abstractNumId w:val="11"/>
  </w:num>
  <w:num w:numId="29" w16cid:durableId="13013765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53E"/>
    <w:rsid w:val="00035526"/>
    <w:rsid w:val="000B4FDE"/>
    <w:rsid w:val="000D603E"/>
    <w:rsid w:val="001344D9"/>
    <w:rsid w:val="00141B1B"/>
    <w:rsid w:val="0016704D"/>
    <w:rsid w:val="001A6C9A"/>
    <w:rsid w:val="001F6541"/>
    <w:rsid w:val="002502A2"/>
    <w:rsid w:val="00254354"/>
    <w:rsid w:val="00296DBB"/>
    <w:rsid w:val="00343C80"/>
    <w:rsid w:val="00363EFF"/>
    <w:rsid w:val="00392C94"/>
    <w:rsid w:val="003A6552"/>
    <w:rsid w:val="003C06DD"/>
    <w:rsid w:val="003F038A"/>
    <w:rsid w:val="00402E23"/>
    <w:rsid w:val="00423A9E"/>
    <w:rsid w:val="00437B95"/>
    <w:rsid w:val="00495E37"/>
    <w:rsid w:val="004A1754"/>
    <w:rsid w:val="004A1CE8"/>
    <w:rsid w:val="004C3631"/>
    <w:rsid w:val="004E6E2B"/>
    <w:rsid w:val="0051757F"/>
    <w:rsid w:val="00524327"/>
    <w:rsid w:val="00526BCC"/>
    <w:rsid w:val="005702B1"/>
    <w:rsid w:val="00572070"/>
    <w:rsid w:val="00573D69"/>
    <w:rsid w:val="005C4494"/>
    <w:rsid w:val="00600A4C"/>
    <w:rsid w:val="0060605C"/>
    <w:rsid w:val="0061737B"/>
    <w:rsid w:val="00652B53"/>
    <w:rsid w:val="006A2E6F"/>
    <w:rsid w:val="006A3B27"/>
    <w:rsid w:val="006A562C"/>
    <w:rsid w:val="006D038C"/>
    <w:rsid w:val="0070765F"/>
    <w:rsid w:val="00740303"/>
    <w:rsid w:val="007655A7"/>
    <w:rsid w:val="00783FB5"/>
    <w:rsid w:val="007B1B9C"/>
    <w:rsid w:val="007D24DB"/>
    <w:rsid w:val="007E653E"/>
    <w:rsid w:val="00806CC6"/>
    <w:rsid w:val="00864F2F"/>
    <w:rsid w:val="00887A73"/>
    <w:rsid w:val="00907C67"/>
    <w:rsid w:val="00916A18"/>
    <w:rsid w:val="009371E5"/>
    <w:rsid w:val="00937338"/>
    <w:rsid w:val="00963C50"/>
    <w:rsid w:val="009A0493"/>
    <w:rsid w:val="009B1D9F"/>
    <w:rsid w:val="009B2D03"/>
    <w:rsid w:val="009C60EE"/>
    <w:rsid w:val="00A01504"/>
    <w:rsid w:val="00AD5DC7"/>
    <w:rsid w:val="00AE7AEA"/>
    <w:rsid w:val="00B1360F"/>
    <w:rsid w:val="00B67199"/>
    <w:rsid w:val="00BD263E"/>
    <w:rsid w:val="00BE57E3"/>
    <w:rsid w:val="00BF5176"/>
    <w:rsid w:val="00C23A6A"/>
    <w:rsid w:val="00C415C5"/>
    <w:rsid w:val="00C63FB6"/>
    <w:rsid w:val="00C82607"/>
    <w:rsid w:val="00CC129D"/>
    <w:rsid w:val="00CC3C49"/>
    <w:rsid w:val="00CE4314"/>
    <w:rsid w:val="00D40DE7"/>
    <w:rsid w:val="00D50743"/>
    <w:rsid w:val="00DE1DE0"/>
    <w:rsid w:val="00DF6F2A"/>
    <w:rsid w:val="00E677B8"/>
    <w:rsid w:val="00E72C81"/>
    <w:rsid w:val="00E72EC0"/>
    <w:rsid w:val="00E95160"/>
    <w:rsid w:val="00ED28C8"/>
    <w:rsid w:val="00ED5235"/>
    <w:rsid w:val="00F0104D"/>
    <w:rsid w:val="00F16331"/>
    <w:rsid w:val="00F27C04"/>
    <w:rsid w:val="00F84E02"/>
    <w:rsid w:val="00F965D4"/>
    <w:rsid w:val="00FB2627"/>
    <w:rsid w:val="00FE11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5FFE6"/>
  <w15:docId w15:val="{A1D2609D-55B9-40E7-97AF-38B759D5A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53E"/>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1344D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887A7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9A0493"/>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72EC0"/>
    <w:pPr>
      <w:tabs>
        <w:tab w:val="center" w:pos="4252"/>
        <w:tab w:val="right" w:pos="8504"/>
      </w:tabs>
    </w:pPr>
  </w:style>
  <w:style w:type="character" w:customStyle="1" w:styleId="EncabezadoCar">
    <w:name w:val="Encabezado Car"/>
    <w:basedOn w:val="Fuentedeprrafopredeter"/>
    <w:link w:val="Encabezado"/>
    <w:uiPriority w:val="99"/>
    <w:rsid w:val="00E72EC0"/>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E72EC0"/>
    <w:pPr>
      <w:tabs>
        <w:tab w:val="center" w:pos="4252"/>
        <w:tab w:val="right" w:pos="8504"/>
      </w:tabs>
    </w:pPr>
  </w:style>
  <w:style w:type="character" w:customStyle="1" w:styleId="PiedepginaCar">
    <w:name w:val="Pie de página Car"/>
    <w:basedOn w:val="Fuentedeprrafopredeter"/>
    <w:link w:val="Piedepgina"/>
    <w:uiPriority w:val="99"/>
    <w:rsid w:val="00E72EC0"/>
    <w:rPr>
      <w:rFonts w:ascii="Times New Roman" w:eastAsia="Times New Roman" w:hAnsi="Times New Roman" w:cs="Times New Roman"/>
      <w:sz w:val="24"/>
      <w:szCs w:val="24"/>
      <w:lang w:eastAsia="es-ES"/>
    </w:rPr>
  </w:style>
  <w:style w:type="paragraph" w:customStyle="1" w:styleId="Default">
    <w:name w:val="Default"/>
    <w:rsid w:val="00F965D4"/>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437B95"/>
    <w:pPr>
      <w:ind w:left="720"/>
      <w:contextualSpacing/>
    </w:pPr>
  </w:style>
  <w:style w:type="table" w:styleId="Tablaconcuadrcula">
    <w:name w:val="Table Grid"/>
    <w:basedOn w:val="Tablanormal"/>
    <w:uiPriority w:val="39"/>
    <w:rsid w:val="007403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1344D9"/>
    <w:rPr>
      <w:rFonts w:asciiTheme="majorHAnsi" w:eastAsiaTheme="majorEastAsia" w:hAnsiTheme="majorHAnsi" w:cstheme="majorBidi"/>
      <w:color w:val="2F5496" w:themeColor="accent1" w:themeShade="BF"/>
      <w:sz w:val="32"/>
      <w:szCs w:val="32"/>
      <w:lang w:eastAsia="es-ES"/>
    </w:rPr>
  </w:style>
  <w:style w:type="paragraph" w:styleId="TtuloTDC">
    <w:name w:val="TOC Heading"/>
    <w:basedOn w:val="Ttulo1"/>
    <w:next w:val="Normal"/>
    <w:uiPriority w:val="39"/>
    <w:unhideWhenUsed/>
    <w:qFormat/>
    <w:rsid w:val="005C4494"/>
    <w:pPr>
      <w:spacing w:line="259" w:lineRule="auto"/>
      <w:outlineLvl w:val="9"/>
    </w:pPr>
  </w:style>
  <w:style w:type="paragraph" w:styleId="TDC1">
    <w:name w:val="toc 1"/>
    <w:basedOn w:val="Normal"/>
    <w:next w:val="Normal"/>
    <w:autoRedefine/>
    <w:uiPriority w:val="39"/>
    <w:unhideWhenUsed/>
    <w:rsid w:val="005C4494"/>
    <w:pPr>
      <w:spacing w:after="100"/>
    </w:pPr>
  </w:style>
  <w:style w:type="character" w:styleId="Hipervnculo">
    <w:name w:val="Hyperlink"/>
    <w:basedOn w:val="Fuentedeprrafopredeter"/>
    <w:uiPriority w:val="99"/>
    <w:unhideWhenUsed/>
    <w:rsid w:val="005C4494"/>
    <w:rPr>
      <w:color w:val="0563C1" w:themeColor="hyperlink"/>
      <w:u w:val="single"/>
    </w:rPr>
  </w:style>
  <w:style w:type="character" w:customStyle="1" w:styleId="Ttulo2Car">
    <w:name w:val="Título 2 Car"/>
    <w:basedOn w:val="Fuentedeprrafopredeter"/>
    <w:link w:val="Ttulo2"/>
    <w:uiPriority w:val="9"/>
    <w:rsid w:val="00887A73"/>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uiPriority w:val="9"/>
    <w:rsid w:val="009A0493"/>
    <w:rPr>
      <w:rFonts w:asciiTheme="majorHAnsi" w:eastAsiaTheme="majorEastAsia" w:hAnsiTheme="majorHAnsi" w:cstheme="majorBidi"/>
      <w:color w:val="1F3763" w:themeColor="accent1" w:themeShade="7F"/>
      <w:sz w:val="24"/>
      <w:szCs w:val="24"/>
      <w:lang w:eastAsia="es-ES"/>
    </w:rPr>
  </w:style>
  <w:style w:type="paragraph" w:styleId="TDC2">
    <w:name w:val="toc 2"/>
    <w:basedOn w:val="Normal"/>
    <w:next w:val="Normal"/>
    <w:autoRedefine/>
    <w:uiPriority w:val="39"/>
    <w:unhideWhenUsed/>
    <w:rsid w:val="004C3631"/>
    <w:pPr>
      <w:spacing w:after="100"/>
      <w:ind w:left="240"/>
    </w:pPr>
  </w:style>
  <w:style w:type="paragraph" w:styleId="TDC3">
    <w:name w:val="toc 3"/>
    <w:basedOn w:val="Normal"/>
    <w:next w:val="Normal"/>
    <w:autoRedefine/>
    <w:uiPriority w:val="39"/>
    <w:unhideWhenUsed/>
    <w:rsid w:val="004C3631"/>
    <w:pPr>
      <w:spacing w:after="100"/>
      <w:ind w:left="480"/>
    </w:pPr>
  </w:style>
  <w:style w:type="paragraph" w:styleId="Textodeglobo">
    <w:name w:val="Balloon Text"/>
    <w:basedOn w:val="Normal"/>
    <w:link w:val="TextodegloboCar"/>
    <w:uiPriority w:val="99"/>
    <w:semiHidden/>
    <w:unhideWhenUsed/>
    <w:rsid w:val="00BF5176"/>
    <w:rPr>
      <w:rFonts w:ascii="Tahoma" w:hAnsi="Tahoma" w:cs="Tahoma"/>
      <w:sz w:val="16"/>
      <w:szCs w:val="16"/>
    </w:rPr>
  </w:style>
  <w:style w:type="character" w:customStyle="1" w:styleId="TextodegloboCar">
    <w:name w:val="Texto de globo Car"/>
    <w:basedOn w:val="Fuentedeprrafopredeter"/>
    <w:link w:val="Textodeglobo"/>
    <w:uiPriority w:val="99"/>
    <w:semiHidden/>
    <w:rsid w:val="00BF5176"/>
    <w:rPr>
      <w:rFonts w:ascii="Tahoma" w:eastAsia="Times New Roman" w:hAnsi="Tahoma" w:cs="Tahoma"/>
      <w:sz w:val="16"/>
      <w:szCs w:val="16"/>
      <w:lang w:eastAsia="es-ES"/>
    </w:rPr>
  </w:style>
  <w:style w:type="character" w:styleId="Refdecomentario">
    <w:name w:val="annotation reference"/>
    <w:basedOn w:val="Fuentedeprrafopredeter"/>
    <w:uiPriority w:val="99"/>
    <w:semiHidden/>
    <w:unhideWhenUsed/>
    <w:rsid w:val="00BF5176"/>
    <w:rPr>
      <w:sz w:val="16"/>
      <w:szCs w:val="16"/>
    </w:rPr>
  </w:style>
  <w:style w:type="paragraph" w:styleId="Textocomentario">
    <w:name w:val="annotation text"/>
    <w:basedOn w:val="Normal"/>
    <w:link w:val="TextocomentarioCar"/>
    <w:uiPriority w:val="99"/>
    <w:semiHidden/>
    <w:unhideWhenUsed/>
    <w:rsid w:val="00BF5176"/>
    <w:rPr>
      <w:sz w:val="20"/>
      <w:szCs w:val="20"/>
    </w:rPr>
  </w:style>
  <w:style w:type="character" w:customStyle="1" w:styleId="TextocomentarioCar">
    <w:name w:val="Texto comentario Car"/>
    <w:basedOn w:val="Fuentedeprrafopredeter"/>
    <w:link w:val="Textocomentario"/>
    <w:uiPriority w:val="99"/>
    <w:semiHidden/>
    <w:rsid w:val="00BF5176"/>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F5176"/>
    <w:rPr>
      <w:b/>
      <w:bCs/>
    </w:rPr>
  </w:style>
  <w:style w:type="character" w:customStyle="1" w:styleId="AsuntodelcomentarioCar">
    <w:name w:val="Asunto del comentario Car"/>
    <w:basedOn w:val="TextocomentarioCar"/>
    <w:link w:val="Asuntodelcomentario"/>
    <w:uiPriority w:val="99"/>
    <w:semiHidden/>
    <w:rsid w:val="00BF5176"/>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810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AC248-7898-4D72-AE67-A9A13DEC3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4593</Words>
  <Characters>25266</Characters>
  <Application>Microsoft Office Word</Application>
  <DocSecurity>4</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1</dc:creator>
  <cp:keywords/>
  <dc:description/>
  <cp:lastModifiedBy>Legutioko Udala (Aitziber)</cp:lastModifiedBy>
  <cp:revision>2</cp:revision>
  <dcterms:created xsi:type="dcterms:W3CDTF">2023-03-10T12:22:00Z</dcterms:created>
  <dcterms:modified xsi:type="dcterms:W3CDTF">2023-03-10T12:22:00Z</dcterms:modified>
</cp:coreProperties>
</file>